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34"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9"/>
        <w:gridCol w:w="7155"/>
      </w:tblGrid>
      <w:tr w:rsidR="00BA2EB7" w:rsidRPr="00165777" w:rsidTr="00465E54">
        <w:trPr>
          <w:trHeight w:val="125"/>
        </w:trPr>
        <w:tc>
          <w:tcPr>
            <w:tcW w:w="5000" w:type="pct"/>
            <w:gridSpan w:val="2"/>
            <w:tcBorders>
              <w:top w:val="nil"/>
              <w:left w:val="nil"/>
              <w:bottom w:val="single" w:sz="4" w:space="0" w:color="auto"/>
              <w:right w:val="nil"/>
            </w:tcBorders>
            <w:shd w:val="clear" w:color="auto" w:fill="auto"/>
          </w:tcPr>
          <w:p w:rsidR="00BA2EB7" w:rsidRPr="00165777" w:rsidRDefault="00BA2EB7" w:rsidP="00165777">
            <w:pPr>
              <w:tabs>
                <w:tab w:val="left" w:pos="5882"/>
              </w:tabs>
              <w:autoSpaceDE w:val="0"/>
              <w:autoSpaceDN w:val="0"/>
              <w:adjustRightInd w:val="0"/>
              <w:jc w:val="right"/>
              <w:rPr>
                <w:b/>
                <w:bCs/>
                <w:sz w:val="20"/>
                <w:szCs w:val="20"/>
              </w:rPr>
            </w:pPr>
            <w:r w:rsidRPr="00165777">
              <w:rPr>
                <w:b/>
                <w:bCs/>
                <w:sz w:val="20"/>
                <w:szCs w:val="20"/>
              </w:rPr>
              <w:t xml:space="preserve">Tabella </w:t>
            </w:r>
            <w:proofErr w:type="spellStart"/>
            <w:r w:rsidR="008B31D1" w:rsidRPr="00165777">
              <w:rPr>
                <w:b/>
                <w:bCs/>
                <w:sz w:val="20"/>
                <w:szCs w:val="20"/>
              </w:rPr>
              <w:t>AdP</w:t>
            </w:r>
            <w:proofErr w:type="spellEnd"/>
            <w:r w:rsidR="008B31D1" w:rsidRPr="00165777">
              <w:rPr>
                <w:b/>
                <w:bCs/>
                <w:sz w:val="20"/>
                <w:szCs w:val="20"/>
              </w:rPr>
              <w:t xml:space="preserve">/QSN </w:t>
            </w:r>
            <w:r w:rsidRPr="00165777">
              <w:rPr>
                <w:b/>
                <w:bCs/>
                <w:sz w:val="20"/>
                <w:szCs w:val="20"/>
              </w:rPr>
              <w:t>comparazione Reg. Generale 2014-2020 e 2007-2013</w:t>
            </w:r>
          </w:p>
          <w:p w:rsidR="00165777" w:rsidRPr="00165777" w:rsidRDefault="00165777" w:rsidP="00165777">
            <w:pPr>
              <w:tabs>
                <w:tab w:val="left" w:pos="5882"/>
              </w:tabs>
              <w:autoSpaceDE w:val="0"/>
              <w:autoSpaceDN w:val="0"/>
              <w:adjustRightInd w:val="0"/>
              <w:jc w:val="right"/>
              <w:rPr>
                <w:b/>
                <w:bCs/>
                <w:sz w:val="20"/>
                <w:szCs w:val="20"/>
              </w:rPr>
            </w:pPr>
          </w:p>
        </w:tc>
      </w:tr>
      <w:tr w:rsidR="00D405B2" w:rsidRPr="00165777" w:rsidTr="00465E54">
        <w:trPr>
          <w:trHeight w:val="125"/>
        </w:trPr>
        <w:tc>
          <w:tcPr>
            <w:tcW w:w="5000" w:type="pct"/>
            <w:gridSpan w:val="2"/>
            <w:tcBorders>
              <w:top w:val="single" w:sz="4" w:space="0" w:color="auto"/>
            </w:tcBorders>
            <w:shd w:val="clear" w:color="auto" w:fill="F2F2F2" w:themeFill="background1" w:themeFillShade="F2"/>
          </w:tcPr>
          <w:p w:rsidR="00D405B2" w:rsidRPr="00165777" w:rsidRDefault="00D405B2" w:rsidP="00283B85">
            <w:pPr>
              <w:autoSpaceDE w:val="0"/>
              <w:autoSpaceDN w:val="0"/>
              <w:adjustRightInd w:val="0"/>
              <w:jc w:val="both"/>
              <w:rPr>
                <w:b/>
                <w:bCs/>
                <w:sz w:val="20"/>
                <w:szCs w:val="20"/>
              </w:rPr>
            </w:pPr>
          </w:p>
        </w:tc>
      </w:tr>
      <w:tr w:rsidR="00D405B2" w:rsidRPr="00165777" w:rsidTr="00465E54">
        <w:trPr>
          <w:trHeight w:val="125"/>
        </w:trPr>
        <w:tc>
          <w:tcPr>
            <w:tcW w:w="2511" w:type="pct"/>
            <w:shd w:val="clear" w:color="auto" w:fill="BDD6EE" w:themeFill="accent1" w:themeFillTint="66"/>
          </w:tcPr>
          <w:p w:rsidR="00D405B2" w:rsidRPr="00165777" w:rsidRDefault="003C6914" w:rsidP="00283B85">
            <w:pPr>
              <w:autoSpaceDE w:val="0"/>
              <w:autoSpaceDN w:val="0"/>
              <w:adjustRightInd w:val="0"/>
              <w:jc w:val="both"/>
              <w:rPr>
                <w:b/>
                <w:bCs/>
                <w:sz w:val="20"/>
                <w:szCs w:val="20"/>
              </w:rPr>
            </w:pPr>
            <w:r w:rsidRPr="00165777">
              <w:rPr>
                <w:b/>
                <w:bCs/>
                <w:sz w:val="20"/>
                <w:szCs w:val="20"/>
              </w:rPr>
              <w:t>NUOVO REGOLAMENTO GENERALE</w:t>
            </w:r>
            <w:r w:rsidR="00D405B2" w:rsidRPr="00165777">
              <w:rPr>
                <w:b/>
                <w:bCs/>
                <w:sz w:val="20"/>
                <w:szCs w:val="20"/>
              </w:rPr>
              <w:t xml:space="preserve"> [2014- 2020]</w:t>
            </w:r>
          </w:p>
          <w:p w:rsidR="00D405B2" w:rsidRPr="00165777" w:rsidRDefault="003C6914" w:rsidP="00283B85">
            <w:pPr>
              <w:autoSpaceDE w:val="0"/>
              <w:autoSpaceDN w:val="0"/>
              <w:adjustRightInd w:val="0"/>
              <w:jc w:val="both"/>
              <w:rPr>
                <w:b/>
                <w:bCs/>
                <w:sz w:val="20"/>
                <w:szCs w:val="20"/>
              </w:rPr>
            </w:pPr>
            <w:r w:rsidRPr="00165777">
              <w:rPr>
                <w:b/>
                <w:bCs/>
                <w:sz w:val="20"/>
                <w:szCs w:val="20"/>
              </w:rPr>
              <w:t>Regolamento UE 1303</w:t>
            </w:r>
            <w:r w:rsidR="00D405B2" w:rsidRPr="00165777">
              <w:rPr>
                <w:b/>
                <w:bCs/>
                <w:sz w:val="20"/>
                <w:szCs w:val="20"/>
              </w:rPr>
              <w:t>/2013 del Parlamento e del Consiglio</w:t>
            </w:r>
          </w:p>
          <w:p w:rsidR="00D405B2" w:rsidRPr="00165777" w:rsidRDefault="00D405B2" w:rsidP="00283B85">
            <w:pPr>
              <w:autoSpaceDE w:val="0"/>
              <w:autoSpaceDN w:val="0"/>
              <w:adjustRightInd w:val="0"/>
              <w:jc w:val="both"/>
              <w:rPr>
                <w:i/>
                <w:iCs/>
                <w:sz w:val="20"/>
                <w:szCs w:val="20"/>
              </w:rPr>
            </w:pPr>
          </w:p>
        </w:tc>
        <w:tc>
          <w:tcPr>
            <w:tcW w:w="2489" w:type="pct"/>
            <w:shd w:val="clear" w:color="auto" w:fill="BDD6EE" w:themeFill="accent1" w:themeFillTint="66"/>
          </w:tcPr>
          <w:p w:rsidR="00D405B2" w:rsidRPr="00165777" w:rsidRDefault="00D405B2" w:rsidP="00283B85">
            <w:pPr>
              <w:autoSpaceDE w:val="0"/>
              <w:autoSpaceDN w:val="0"/>
              <w:adjustRightInd w:val="0"/>
              <w:jc w:val="both"/>
              <w:rPr>
                <w:b/>
                <w:bCs/>
                <w:sz w:val="20"/>
                <w:szCs w:val="20"/>
              </w:rPr>
            </w:pPr>
            <w:r w:rsidRPr="00165777">
              <w:rPr>
                <w:b/>
                <w:bCs/>
                <w:sz w:val="20"/>
                <w:szCs w:val="20"/>
              </w:rPr>
              <w:t xml:space="preserve">REGOLAMENTO </w:t>
            </w:r>
            <w:r w:rsidR="003C6914" w:rsidRPr="00165777">
              <w:rPr>
                <w:b/>
                <w:bCs/>
                <w:sz w:val="20"/>
                <w:szCs w:val="20"/>
              </w:rPr>
              <w:t>GENERALE</w:t>
            </w:r>
            <w:r w:rsidRPr="00165777">
              <w:rPr>
                <w:b/>
                <w:bCs/>
                <w:sz w:val="20"/>
                <w:szCs w:val="20"/>
              </w:rPr>
              <w:t xml:space="preserve"> 2007-2013</w:t>
            </w:r>
          </w:p>
          <w:p w:rsidR="00D405B2" w:rsidRPr="00165777" w:rsidRDefault="00755F90" w:rsidP="00283B85">
            <w:pPr>
              <w:autoSpaceDE w:val="0"/>
              <w:autoSpaceDN w:val="0"/>
              <w:adjustRightInd w:val="0"/>
              <w:jc w:val="both"/>
              <w:rPr>
                <w:i/>
                <w:iCs/>
                <w:sz w:val="20"/>
                <w:szCs w:val="20"/>
              </w:rPr>
            </w:pPr>
            <w:r w:rsidRPr="00165777">
              <w:rPr>
                <w:b/>
                <w:bCs/>
                <w:sz w:val="20"/>
                <w:szCs w:val="20"/>
              </w:rPr>
              <w:t>Nr 1083</w:t>
            </w:r>
            <w:r w:rsidR="00D405B2" w:rsidRPr="00165777">
              <w:rPr>
                <w:b/>
                <w:bCs/>
                <w:sz w:val="20"/>
                <w:szCs w:val="20"/>
              </w:rPr>
              <w:t>/2006</w:t>
            </w:r>
          </w:p>
        </w:tc>
      </w:tr>
      <w:tr w:rsidR="00F74204" w:rsidRPr="00165777" w:rsidTr="00465E54">
        <w:trPr>
          <w:trHeight w:val="132"/>
        </w:trPr>
        <w:tc>
          <w:tcPr>
            <w:tcW w:w="2511" w:type="pct"/>
          </w:tcPr>
          <w:p w:rsidR="00F74204" w:rsidRPr="00165777" w:rsidRDefault="00F74204" w:rsidP="00165777">
            <w:pPr>
              <w:autoSpaceDE w:val="0"/>
              <w:autoSpaceDN w:val="0"/>
              <w:adjustRightInd w:val="0"/>
              <w:spacing w:before="60" w:after="60"/>
              <w:jc w:val="center"/>
              <w:rPr>
                <w:rFonts w:eastAsiaTheme="minorHAnsi"/>
                <w:b/>
                <w:i/>
                <w:iCs/>
                <w:color w:val="000000"/>
                <w:sz w:val="20"/>
                <w:szCs w:val="20"/>
                <w:lang w:eastAsia="en-US"/>
              </w:rPr>
            </w:pPr>
            <w:r w:rsidRPr="00165777">
              <w:rPr>
                <w:rFonts w:eastAsiaTheme="minorHAnsi"/>
                <w:b/>
                <w:i/>
                <w:iCs/>
                <w:color w:val="000000"/>
                <w:sz w:val="20"/>
                <w:szCs w:val="20"/>
                <w:lang w:eastAsia="en-US"/>
              </w:rPr>
              <w:t>Preparazione dell’Accordo di Partenariato</w:t>
            </w:r>
          </w:p>
        </w:tc>
        <w:tc>
          <w:tcPr>
            <w:tcW w:w="2489" w:type="pct"/>
          </w:tcPr>
          <w:p w:rsidR="00F74204" w:rsidRPr="00165777" w:rsidRDefault="00F74204" w:rsidP="00165777">
            <w:pPr>
              <w:autoSpaceDE w:val="0"/>
              <w:autoSpaceDN w:val="0"/>
              <w:adjustRightInd w:val="0"/>
              <w:spacing w:before="60" w:after="60"/>
              <w:jc w:val="center"/>
              <w:rPr>
                <w:rFonts w:eastAsiaTheme="minorHAnsi"/>
                <w:b/>
                <w:i/>
                <w:iCs/>
                <w:color w:val="000000"/>
                <w:sz w:val="20"/>
                <w:szCs w:val="20"/>
                <w:lang w:eastAsia="en-US"/>
              </w:rPr>
            </w:pPr>
            <w:r w:rsidRPr="00165777">
              <w:rPr>
                <w:rFonts w:eastAsiaTheme="minorHAnsi"/>
                <w:b/>
                <w:i/>
                <w:iCs/>
                <w:color w:val="000000"/>
                <w:sz w:val="20"/>
                <w:szCs w:val="20"/>
                <w:lang w:eastAsia="en-US"/>
              </w:rPr>
              <w:t>Preparazione del (QSN)</w:t>
            </w:r>
          </w:p>
        </w:tc>
      </w:tr>
      <w:tr w:rsidR="00F74204" w:rsidRPr="00165777" w:rsidTr="00465E54">
        <w:trPr>
          <w:trHeight w:val="132"/>
        </w:trPr>
        <w:tc>
          <w:tcPr>
            <w:tcW w:w="2511" w:type="pct"/>
          </w:tcPr>
          <w:p w:rsidR="00DF5518" w:rsidRPr="00165777" w:rsidRDefault="00DF5518"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Articolo 14 </w:t>
            </w:r>
          </w:p>
          <w:p w:rsidR="00DF5518" w:rsidRPr="00165777" w:rsidRDefault="00DF5518"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Preparazione dell'accordo di partenariato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1. Ogni Stato membro prepara un accordo di partenariato per il periodo compreso fra il 1 o gennaio 2014 e il 31 dicembre 2020.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2. L'accordo di partenariato è elaborato dagli Stati membri in cooperazione con i partner di cui all'articolo 5. L'accordo di partenariato è preparato in dialogo con la Commissione. Gli Stati membri elaborano l'accordo di partenariato sulla base di procedure trasparenti per il pubblico e conformemente ai propri quadri istituzionali e giuridici.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3. L'accordo di partenariato si applica alla totalità del sostegno fornito dai fondi SIE nello Stato membro interessato.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4. Ogni Stato membro trasmette alla Commissione l'accordo di partenariato entro 22 aprile 2014. </w:t>
            </w:r>
          </w:p>
          <w:p w:rsidR="00F74204"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5. Qualora uno o più regolamenti relativi a un fondo specifico non entrino in vigore o non ne sia prevista l'entrata in vigore entro 22 febbraio 2014, l'accordo di partenariato presentato da uno Stato membro di cui al paragrafo 4 non deve contenere gli elementi di cui all'articolo 15, paragrafo 1, lettera a), punti ii), iii), iv) e vi), per il fondo SIE oggetto del differimento o dell'atteso differimento dell'entrata in vigore del corrispondente specifico regolamento.</w:t>
            </w:r>
          </w:p>
        </w:tc>
        <w:tc>
          <w:tcPr>
            <w:tcW w:w="2489" w:type="pct"/>
          </w:tcPr>
          <w:p w:rsidR="00DF5518" w:rsidRPr="00165777" w:rsidRDefault="00DF5518"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Art. 28 </w:t>
            </w:r>
          </w:p>
          <w:p w:rsidR="00DF5518" w:rsidRPr="00165777" w:rsidRDefault="00DF5518"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Preparazione e adozione</w:t>
            </w:r>
          </w:p>
          <w:p w:rsidR="0060320E" w:rsidRPr="00165777" w:rsidRDefault="0060320E"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Il quadro di riferimento strategico nazionale è preparato dallo Stato membro, previa consultazione con i pertinenti partner conformemente all'articolo 11, mediante la procedura che considera più appropriata e in base al proprio ordinamento.</w:t>
            </w:r>
          </w:p>
          <w:p w:rsidR="0060320E" w:rsidRPr="00165777" w:rsidRDefault="0060320E"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Esso copre il periodo dal 1o gennaio 2007 al 31 dicembre 2013.</w:t>
            </w:r>
          </w:p>
          <w:p w:rsidR="0060320E" w:rsidRPr="00165777" w:rsidRDefault="0060320E"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Lo Stato membro elabora il quadro di riferimento strategico nazionale in dialogo con la Commissione, al fine di garantire un approccio comune.</w:t>
            </w:r>
          </w:p>
          <w:p w:rsidR="00DF5518" w:rsidRPr="00165777" w:rsidRDefault="00DF5518" w:rsidP="00283B85">
            <w:pPr>
              <w:autoSpaceDE w:val="0"/>
              <w:autoSpaceDN w:val="0"/>
              <w:adjustRightInd w:val="0"/>
              <w:jc w:val="both"/>
              <w:rPr>
                <w:rFonts w:eastAsiaTheme="minorHAnsi"/>
                <w:color w:val="000000"/>
                <w:sz w:val="20"/>
                <w:szCs w:val="20"/>
                <w:lang w:eastAsia="en-US"/>
              </w:rPr>
            </w:pPr>
          </w:p>
          <w:p w:rsidR="00465E54" w:rsidRDefault="00465E54" w:rsidP="00283B85">
            <w:pPr>
              <w:autoSpaceDE w:val="0"/>
              <w:autoSpaceDN w:val="0"/>
              <w:adjustRightInd w:val="0"/>
              <w:jc w:val="both"/>
              <w:rPr>
                <w:rFonts w:eastAsiaTheme="minorHAnsi"/>
                <w:color w:val="000000"/>
                <w:sz w:val="20"/>
                <w:szCs w:val="20"/>
                <w:lang w:eastAsia="en-US"/>
              </w:rPr>
            </w:pPr>
          </w:p>
          <w:p w:rsidR="00465E54" w:rsidRPr="00465E54" w:rsidRDefault="00465E54" w:rsidP="00465E54">
            <w:pPr>
              <w:rPr>
                <w:rFonts w:eastAsiaTheme="minorHAnsi"/>
                <w:sz w:val="20"/>
                <w:szCs w:val="20"/>
                <w:lang w:eastAsia="en-US"/>
              </w:rPr>
            </w:pPr>
          </w:p>
          <w:p w:rsidR="00465E54" w:rsidRDefault="00465E54" w:rsidP="00465E54">
            <w:pPr>
              <w:rPr>
                <w:rFonts w:eastAsiaTheme="minorHAnsi"/>
                <w:sz w:val="20"/>
                <w:szCs w:val="20"/>
                <w:lang w:eastAsia="en-US"/>
              </w:rPr>
            </w:pPr>
          </w:p>
          <w:p w:rsidR="00465E54" w:rsidRDefault="00465E54" w:rsidP="00465E54">
            <w:pPr>
              <w:rPr>
                <w:rFonts w:eastAsiaTheme="minorHAnsi"/>
                <w:sz w:val="20"/>
                <w:szCs w:val="20"/>
                <w:lang w:eastAsia="en-US"/>
              </w:rPr>
            </w:pPr>
          </w:p>
          <w:p w:rsidR="00F74204" w:rsidRPr="00465E54" w:rsidRDefault="00465E54" w:rsidP="00465E54">
            <w:pPr>
              <w:tabs>
                <w:tab w:val="left" w:pos="2655"/>
              </w:tabs>
              <w:rPr>
                <w:rFonts w:eastAsiaTheme="minorHAnsi"/>
                <w:sz w:val="20"/>
                <w:szCs w:val="20"/>
                <w:lang w:eastAsia="en-US"/>
              </w:rPr>
            </w:pPr>
            <w:r>
              <w:rPr>
                <w:rFonts w:eastAsiaTheme="minorHAnsi"/>
                <w:sz w:val="20"/>
                <w:szCs w:val="20"/>
                <w:lang w:eastAsia="en-US"/>
              </w:rPr>
              <w:tab/>
            </w:r>
          </w:p>
        </w:tc>
      </w:tr>
      <w:tr w:rsidR="00C91E0B" w:rsidRPr="00165777" w:rsidTr="00465E54">
        <w:trPr>
          <w:trHeight w:val="132"/>
        </w:trPr>
        <w:tc>
          <w:tcPr>
            <w:tcW w:w="2511" w:type="pct"/>
          </w:tcPr>
          <w:p w:rsidR="00C91E0B" w:rsidRPr="00165777" w:rsidRDefault="00C91E0B" w:rsidP="00165777">
            <w:pPr>
              <w:autoSpaceDE w:val="0"/>
              <w:autoSpaceDN w:val="0"/>
              <w:adjustRightInd w:val="0"/>
              <w:spacing w:before="60" w:after="60"/>
              <w:jc w:val="center"/>
              <w:rPr>
                <w:rFonts w:eastAsiaTheme="minorHAnsi"/>
                <w:b/>
                <w:i/>
                <w:iCs/>
                <w:color w:val="000000"/>
                <w:sz w:val="20"/>
                <w:szCs w:val="20"/>
                <w:lang w:eastAsia="en-US"/>
              </w:rPr>
            </w:pPr>
            <w:r w:rsidRPr="00165777">
              <w:rPr>
                <w:rFonts w:eastAsiaTheme="minorHAnsi"/>
                <w:b/>
                <w:i/>
                <w:iCs/>
                <w:color w:val="000000"/>
                <w:sz w:val="20"/>
                <w:szCs w:val="20"/>
                <w:lang w:eastAsia="en-US"/>
              </w:rPr>
              <w:t>Adozione dell’Accordo di Partenariato</w:t>
            </w:r>
          </w:p>
        </w:tc>
        <w:tc>
          <w:tcPr>
            <w:tcW w:w="2489" w:type="pct"/>
          </w:tcPr>
          <w:p w:rsidR="00C91E0B" w:rsidRPr="00165777" w:rsidRDefault="00C91E0B" w:rsidP="00165777">
            <w:pPr>
              <w:autoSpaceDE w:val="0"/>
              <w:autoSpaceDN w:val="0"/>
              <w:adjustRightInd w:val="0"/>
              <w:spacing w:before="60" w:after="60"/>
              <w:jc w:val="center"/>
              <w:rPr>
                <w:rFonts w:eastAsiaTheme="minorHAnsi"/>
                <w:b/>
                <w:i/>
                <w:iCs/>
                <w:color w:val="000000"/>
                <w:sz w:val="20"/>
                <w:szCs w:val="20"/>
                <w:lang w:eastAsia="en-US"/>
              </w:rPr>
            </w:pPr>
            <w:r w:rsidRPr="00165777">
              <w:rPr>
                <w:rFonts w:eastAsiaTheme="minorHAnsi"/>
                <w:b/>
                <w:i/>
                <w:iCs/>
                <w:color w:val="000000"/>
                <w:sz w:val="20"/>
                <w:szCs w:val="20"/>
                <w:lang w:eastAsia="en-US"/>
              </w:rPr>
              <w:t>Adozione del (QSN)</w:t>
            </w:r>
          </w:p>
        </w:tc>
      </w:tr>
      <w:tr w:rsidR="00C91E0B" w:rsidRPr="00165777" w:rsidTr="00465E54">
        <w:trPr>
          <w:trHeight w:val="132"/>
        </w:trPr>
        <w:tc>
          <w:tcPr>
            <w:tcW w:w="2511" w:type="pct"/>
          </w:tcPr>
          <w:p w:rsidR="00DF5518" w:rsidRPr="00165777" w:rsidRDefault="00DF5518"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Articolo 16 </w:t>
            </w:r>
          </w:p>
          <w:p w:rsidR="00DF5518" w:rsidRPr="00165777" w:rsidRDefault="00DF5518"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Adozione e modifica dell'accordo di partenariato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1. La Commissione valuta la coerenza dell'accordo di partenariato con il presente regolamento tenendo conto del programma nazionale di riforma, ove appropriato, e delle raccomandazioni pertinenti specifiche per ciascun paese adottate a norma dell'articolo 121, paragrafo 2, TFUE e delle raccomandazioni pertinenti del Consiglio adottate a norma dell'articolo 148, paragrafo 4, TFUE, nonché delle valutazioni ex ante dei programmi, e formula osservazioni entro tre mesi dalla data di presentazione, da parte dello Stato membro, del relativo accordo di partenariato. Lo Stato membro interessato fornisce tutte le informazioni supplementari necessarie e, se del caso, rivede l'accordo di partenariato.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lastRenderedPageBreak/>
              <w:t xml:space="preserve">2. La Commissione adotta una decisione, mediante atti di esecuzione, con la quale approva gli elementi dell'accordo di partenariato contemplati dall'articolo 15, paragrafo 1, e quelli contemplati dall'articolo 15, paragrafo 2, qualora uno Stato membro si sia avvalso delle disposizioni di cui all'articolo 96, paragrafo 8, per gli elementi che richiedono una decisione della Commissione ai sensi dell'articolo 96, paragrafo 10, entro quattro mesi dalla data di presentazione del proprio accordo di partenariato da parte dello Stato membro, a condizione che le eventuali osservazioni formulate dalla Commissione siano state adeguatamente recepite. L'accordo di partenariato non entra in vigore prima del 1 o gennaio 2014. </w:t>
            </w:r>
          </w:p>
          <w:p w:rsidR="00C91E0B"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3. La Commissione redige una relazione sui risultati dei negoziati relativi agli accordi e ai programmi di partenariato, compreso un quadro di sintesi delle questioni chiave, per ciascuno Stato membro, entro il 31 dicembre 2015. Tale relazione è notificata contestualmente al Parlamento europeo, al Consiglio, al Comitato economico e sociale europeo e al Comitato delle regioni. </w:t>
            </w:r>
          </w:p>
          <w:p w:rsidR="00B23DE8" w:rsidRPr="00165777" w:rsidRDefault="00B23DE8" w:rsidP="00283B85">
            <w:pPr>
              <w:autoSpaceDE w:val="0"/>
              <w:autoSpaceDN w:val="0"/>
              <w:adjustRightInd w:val="0"/>
              <w:spacing w:before="60" w:after="60"/>
              <w:jc w:val="both"/>
              <w:rPr>
                <w:rFonts w:eastAsiaTheme="minorHAnsi"/>
                <w:color w:val="000000"/>
                <w:sz w:val="20"/>
                <w:szCs w:val="20"/>
                <w:lang w:eastAsia="en-US"/>
              </w:rPr>
            </w:pPr>
          </w:p>
        </w:tc>
        <w:tc>
          <w:tcPr>
            <w:tcW w:w="2489" w:type="pct"/>
          </w:tcPr>
          <w:p w:rsidR="00DF5518" w:rsidRPr="00165777" w:rsidRDefault="00DF5518"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lastRenderedPageBreak/>
              <w:t xml:space="preserve">Art. 28 </w:t>
            </w:r>
          </w:p>
          <w:p w:rsidR="00DF5518" w:rsidRPr="00165777" w:rsidRDefault="00DF5518"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Preparazione e adozione</w:t>
            </w:r>
          </w:p>
          <w:p w:rsidR="00DF5518" w:rsidRPr="00165777" w:rsidRDefault="00DF5518"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2. Ciascuno Stato membro trasmette il quadro di riferimento strategico nazionale alla Commissione entro cinque mesi dall'adozione degli orientamenti strategici comunitari per la coesione. La Commissione prende atto della strategia nazionale e dei temi prioritari prescelti per l'intervento dei Fondi e formula le osservazioni che ritiene opportune entro tre mesi dalla data di ricezione del quadro di riferimento.</w:t>
            </w:r>
          </w:p>
          <w:p w:rsidR="00DF5518" w:rsidRPr="00165777" w:rsidRDefault="00DF5518"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Lo Stato membro può presentare contestualmente il quadro di riferimento strategico nazionale e i programmi operativi di cui all'articolo 32. 31.7.2006 IT Gazzetta ufficiale dell'Unione europea L 210/43</w:t>
            </w:r>
          </w:p>
          <w:p w:rsidR="00DF5518" w:rsidRPr="00165777" w:rsidRDefault="00DF5518" w:rsidP="00283B85">
            <w:pPr>
              <w:autoSpaceDE w:val="0"/>
              <w:autoSpaceDN w:val="0"/>
              <w:adjustRightInd w:val="0"/>
              <w:jc w:val="both"/>
              <w:rPr>
                <w:rFonts w:eastAsiaTheme="minorHAnsi"/>
                <w:color w:val="000000"/>
                <w:sz w:val="20"/>
                <w:szCs w:val="20"/>
                <w:lang w:eastAsia="en-US"/>
              </w:rPr>
            </w:pPr>
          </w:p>
          <w:p w:rsidR="00DF5518" w:rsidRPr="00165777" w:rsidRDefault="00DF5518"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lastRenderedPageBreak/>
              <w:t>3. Prima o al momento dell'adozione dei programmi operativi di cui all'articolo 32, paragrafo 5, la Commissione, previa consultazione dello Stato membro, adotta una decisione riguardante i seguenti aspetti:</w:t>
            </w:r>
          </w:p>
          <w:p w:rsidR="00DF5518" w:rsidRPr="00165777" w:rsidRDefault="00DF5518"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a) l'elenco dei programmi operativi di cui all'articolo 27, paragrafo 4, lettera c);</w:t>
            </w:r>
          </w:p>
          <w:p w:rsidR="00DF5518" w:rsidRPr="00165777" w:rsidRDefault="00DF5518"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b) la dotazione annuale indicativa di ciascun Fondo per programma di cui all'articolo 27, paragrafo 4, lettera e); e</w:t>
            </w:r>
          </w:p>
          <w:p w:rsidR="00C91E0B"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c) per il solo obiettivo «Convergenza», il livello di spesa che garantisce il rispetto del principio di </w:t>
            </w:r>
            <w:proofErr w:type="spellStart"/>
            <w:r w:rsidRPr="00165777">
              <w:rPr>
                <w:rFonts w:eastAsiaTheme="minorHAnsi"/>
                <w:color w:val="000000"/>
                <w:sz w:val="20"/>
                <w:szCs w:val="20"/>
                <w:lang w:eastAsia="en-US"/>
              </w:rPr>
              <w:t>addizionalità</w:t>
            </w:r>
            <w:proofErr w:type="spellEnd"/>
            <w:r w:rsidRPr="00165777">
              <w:rPr>
                <w:rFonts w:eastAsiaTheme="minorHAnsi"/>
                <w:color w:val="000000"/>
                <w:sz w:val="20"/>
                <w:szCs w:val="20"/>
                <w:lang w:eastAsia="en-US"/>
              </w:rPr>
              <w:t xml:space="preserve"> di cui all'articolo 15 e l'azione prevista per rafforzare l'efficienza amministrativa, di cui all'articolo 27, paragrafo 4), lettera f), punto i).</w:t>
            </w:r>
          </w:p>
        </w:tc>
      </w:tr>
      <w:tr w:rsidR="00C91E0B" w:rsidRPr="00165777" w:rsidTr="00465E54">
        <w:trPr>
          <w:trHeight w:val="132"/>
        </w:trPr>
        <w:tc>
          <w:tcPr>
            <w:tcW w:w="2511" w:type="pct"/>
          </w:tcPr>
          <w:p w:rsidR="00C91E0B" w:rsidRPr="00165777" w:rsidRDefault="00C91E0B" w:rsidP="00165777">
            <w:pPr>
              <w:autoSpaceDE w:val="0"/>
              <w:autoSpaceDN w:val="0"/>
              <w:adjustRightInd w:val="0"/>
              <w:spacing w:before="60" w:after="60"/>
              <w:jc w:val="center"/>
              <w:rPr>
                <w:rFonts w:eastAsiaTheme="minorHAnsi"/>
                <w:b/>
                <w:i/>
                <w:iCs/>
                <w:color w:val="000000"/>
                <w:sz w:val="20"/>
                <w:szCs w:val="20"/>
                <w:lang w:eastAsia="en-US"/>
              </w:rPr>
            </w:pPr>
            <w:r w:rsidRPr="00165777">
              <w:rPr>
                <w:rFonts w:eastAsiaTheme="minorHAnsi"/>
                <w:b/>
                <w:i/>
                <w:iCs/>
                <w:color w:val="000000"/>
                <w:sz w:val="20"/>
                <w:szCs w:val="20"/>
                <w:lang w:eastAsia="en-US"/>
              </w:rPr>
              <w:lastRenderedPageBreak/>
              <w:t>Modifica dell’Accordo di Partenariato</w:t>
            </w:r>
          </w:p>
        </w:tc>
        <w:tc>
          <w:tcPr>
            <w:tcW w:w="2489" w:type="pct"/>
          </w:tcPr>
          <w:p w:rsidR="00C91E0B" w:rsidRPr="00165777" w:rsidRDefault="00C91E0B" w:rsidP="00165777">
            <w:pPr>
              <w:autoSpaceDE w:val="0"/>
              <w:autoSpaceDN w:val="0"/>
              <w:adjustRightInd w:val="0"/>
              <w:spacing w:before="60" w:after="60"/>
              <w:jc w:val="center"/>
              <w:rPr>
                <w:rFonts w:eastAsiaTheme="minorHAnsi"/>
                <w:b/>
                <w:i/>
                <w:iCs/>
                <w:color w:val="000000"/>
                <w:sz w:val="20"/>
                <w:szCs w:val="20"/>
                <w:lang w:eastAsia="en-US"/>
              </w:rPr>
            </w:pPr>
            <w:r w:rsidRPr="00165777">
              <w:rPr>
                <w:rFonts w:eastAsiaTheme="minorHAnsi"/>
                <w:b/>
                <w:i/>
                <w:iCs/>
                <w:color w:val="000000"/>
                <w:sz w:val="20"/>
                <w:szCs w:val="20"/>
                <w:lang w:eastAsia="en-US"/>
              </w:rPr>
              <w:t>Modifica del (QSN)</w:t>
            </w:r>
          </w:p>
        </w:tc>
      </w:tr>
      <w:tr w:rsidR="00C91E0B" w:rsidRPr="00165777" w:rsidTr="00465E54">
        <w:trPr>
          <w:trHeight w:val="132"/>
        </w:trPr>
        <w:tc>
          <w:tcPr>
            <w:tcW w:w="2511" w:type="pct"/>
          </w:tcPr>
          <w:p w:rsidR="0005269B" w:rsidRPr="00165777" w:rsidRDefault="0005269B"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Articolo 16 </w:t>
            </w:r>
          </w:p>
          <w:p w:rsidR="0005269B" w:rsidRPr="00165777" w:rsidRDefault="0005269B"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Adozione e modifica dell'accordo di partenariato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4. Qualora uno Stato membro proponga una modifica degli elementi dell'accordo di partenariato contemplati dalla decisione della Commissione di cui al paragrafo 2, la Commissione effettua una valutazione a norma del paragrafo 1 e, se del caso, adotta una decisione, mediante atti di esecuzione, con la quale approva la modifica entro tre mesi dalla data di presentazione della proposta di modifica da parte dello Stato membro. </w:t>
            </w:r>
          </w:p>
          <w:p w:rsidR="00C91E0B"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5. Qualora uno Stato membro modifichi elementi dell'accordo di partenariato non contemplati dalla decisione della Commissione di cui al paragrafo 2, ne dà notifica alla Commissione entro un mese dalla data della decisione di operare la modifica.</w:t>
            </w:r>
          </w:p>
          <w:p w:rsidR="005E491A" w:rsidRPr="00165777" w:rsidRDefault="005E491A" w:rsidP="00283B85">
            <w:pPr>
              <w:autoSpaceDE w:val="0"/>
              <w:autoSpaceDN w:val="0"/>
              <w:adjustRightInd w:val="0"/>
              <w:spacing w:before="60" w:after="60"/>
              <w:jc w:val="both"/>
              <w:rPr>
                <w:rFonts w:eastAsiaTheme="minorHAnsi"/>
                <w:color w:val="000000"/>
                <w:sz w:val="20"/>
                <w:szCs w:val="20"/>
                <w:lang w:eastAsia="en-US"/>
              </w:rPr>
            </w:pPr>
          </w:p>
          <w:p w:rsidR="005E491A" w:rsidRPr="00165777" w:rsidRDefault="005E491A" w:rsidP="00283B85">
            <w:pPr>
              <w:autoSpaceDE w:val="0"/>
              <w:autoSpaceDN w:val="0"/>
              <w:adjustRightInd w:val="0"/>
              <w:spacing w:before="60" w:after="60"/>
              <w:jc w:val="both"/>
              <w:rPr>
                <w:rFonts w:eastAsiaTheme="minorHAnsi"/>
                <w:b/>
                <w:i/>
                <w:color w:val="000000"/>
                <w:sz w:val="20"/>
                <w:szCs w:val="20"/>
                <w:lang w:eastAsia="en-US"/>
              </w:rPr>
            </w:pPr>
            <w:r w:rsidRPr="00165777">
              <w:rPr>
                <w:rFonts w:eastAsiaTheme="minorHAnsi"/>
                <w:b/>
                <w:i/>
                <w:iCs/>
                <w:color w:val="000000"/>
                <w:sz w:val="20"/>
                <w:szCs w:val="20"/>
                <w:lang w:eastAsia="en-US"/>
              </w:rPr>
              <w:t xml:space="preserve">Articolo 23 </w:t>
            </w:r>
          </w:p>
          <w:p w:rsidR="005E491A" w:rsidRPr="00165777" w:rsidRDefault="005E491A" w:rsidP="00283B85">
            <w:pPr>
              <w:autoSpaceDE w:val="0"/>
              <w:autoSpaceDN w:val="0"/>
              <w:adjustRightInd w:val="0"/>
              <w:spacing w:before="60" w:after="60"/>
              <w:jc w:val="both"/>
              <w:rPr>
                <w:rFonts w:eastAsiaTheme="minorHAnsi"/>
                <w:b/>
                <w:i/>
                <w:color w:val="000000"/>
                <w:sz w:val="20"/>
                <w:szCs w:val="20"/>
                <w:lang w:eastAsia="en-US"/>
              </w:rPr>
            </w:pPr>
            <w:r w:rsidRPr="00165777">
              <w:rPr>
                <w:rFonts w:eastAsiaTheme="minorHAnsi"/>
                <w:b/>
                <w:bCs/>
                <w:i/>
                <w:color w:val="000000"/>
                <w:sz w:val="20"/>
                <w:szCs w:val="20"/>
                <w:lang w:eastAsia="en-US"/>
              </w:rPr>
              <w:t xml:space="preserve">Misure per collegare l'efficacia dei fondi SIE a una sana </w:t>
            </w:r>
            <w:proofErr w:type="spellStart"/>
            <w:r w:rsidRPr="00165777">
              <w:rPr>
                <w:rFonts w:eastAsiaTheme="minorHAnsi"/>
                <w:b/>
                <w:bCs/>
                <w:i/>
                <w:color w:val="000000"/>
                <w:sz w:val="20"/>
                <w:szCs w:val="20"/>
                <w:lang w:eastAsia="en-US"/>
              </w:rPr>
              <w:t>governance</w:t>
            </w:r>
            <w:proofErr w:type="spellEnd"/>
            <w:r w:rsidRPr="00165777">
              <w:rPr>
                <w:rFonts w:eastAsiaTheme="minorHAnsi"/>
                <w:b/>
                <w:bCs/>
                <w:i/>
                <w:color w:val="000000"/>
                <w:sz w:val="20"/>
                <w:szCs w:val="20"/>
                <w:lang w:eastAsia="en-US"/>
              </w:rPr>
              <w:t xml:space="preserve"> economica </w:t>
            </w:r>
          </w:p>
          <w:p w:rsidR="005E491A" w:rsidRPr="00165777" w:rsidRDefault="005E491A" w:rsidP="00283B85">
            <w:pPr>
              <w:pStyle w:val="CM1"/>
              <w:spacing w:before="200" w:after="200"/>
              <w:jc w:val="both"/>
              <w:rPr>
                <w:rFonts w:ascii="Times New Roman" w:hAnsi="Times New Roman" w:cs="Times New Roman"/>
                <w:color w:val="000000"/>
                <w:sz w:val="20"/>
                <w:szCs w:val="20"/>
              </w:rPr>
            </w:pPr>
            <w:r w:rsidRPr="00165777">
              <w:rPr>
                <w:rFonts w:ascii="Times New Roman" w:hAnsi="Times New Roman" w:cs="Times New Roman"/>
                <w:color w:val="000000"/>
                <w:sz w:val="20"/>
                <w:szCs w:val="20"/>
              </w:rPr>
              <w:t>1. La Commissione può chiedere ad uno Stato membro di rivedere e proporre di modificare il suo contratto di partenariato e i programmi rilevanti, ove necessario per sostenere l'attuazione delle raccomandazioni pertinenti del Consiglio o per massimizzare l'impatto sulla crescita e la competitività dei fondi SIE negli Stati membri beneficiari dell'assistenza finanziaria.</w:t>
            </w:r>
          </w:p>
          <w:p w:rsidR="005E491A" w:rsidRPr="00165777" w:rsidRDefault="005E491A"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w:t>
            </w:r>
          </w:p>
          <w:p w:rsidR="005E491A" w:rsidRPr="00165777" w:rsidRDefault="005E491A"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lastRenderedPageBreak/>
              <w:t xml:space="preserve">2. Una richiesta della Commissione a uno Stato membro a norma del paragrafo 1 è motivata con il riferimento all'esigenza di sostenere l'attuazione delle pertinenti raccomandazioni o di massimizzare l'impatto sulla crescita e sulla competitività dei fondi SIE, se del caso, e precisa i programmi o le priorità che essa ritiene interessati e le caratteristiche delle modifiche previste. Tale richiesta è formulata non prima del 2015 o dopo il 2019 e non riguarda gli stessi programmi in due anni consecutivi. </w:t>
            </w:r>
          </w:p>
          <w:p w:rsidR="005E491A" w:rsidRPr="00165777" w:rsidRDefault="005E491A"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3. Lo Stato membro trasmette la sua risposta alla richiesta di cui al paragrafo 1 entro due mesi dal ricevimento, definendo le modifiche che considera necessarie nell'accordo di partenariato e nei programmi, i motivi delle modifiche, indicando i programmi interessati e precisando la natura delle modifiche proposte e gli effetti previsti sull'attuazione delle raccomandazioni e sull'attuazione dei fondi SIE. Se del caso, la Commissione formula osservazioni entro un mese dal ricevimento di detta risposta. </w:t>
            </w:r>
          </w:p>
          <w:p w:rsidR="005E491A" w:rsidRPr="00165777" w:rsidRDefault="005E491A"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4. Lo Stato membro presenta una proposta di modifica dell'accordo di partenariato e dei programmi rilevanti entro due mesi dalla data di presentazione della risposta di cui al paragrafo 3. </w:t>
            </w:r>
          </w:p>
          <w:p w:rsidR="005E491A" w:rsidRPr="00165777" w:rsidRDefault="005E491A"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5. Se la Commissione non ha presentato osservazioni o se essa ritiene che le osservazioni formulate siano state debitamente recepite, essa adotta senza indugio una decisione di approvazione delle modifiche all'accordo di partenariato e ai programmi rilevanti e in ogni caso entro tre mesi dalla loro presentazione da parte dello Stato membro a norma del paragrafo 3. </w:t>
            </w:r>
          </w:p>
          <w:p w:rsidR="005E491A" w:rsidRPr="00165777" w:rsidRDefault="005E491A"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6. Se lo Stato membro omette di adottare un'azione effettiva in risposta a una richiesta formulata a norma del paragrafo 1 entro i termini di cui ai paragrafi 3 e 4, la Commissione può, entro tre mesi dalla presentazione delle sue osservazioni ai sensi del paragrafo 3 o dopo la presentazione della proposta dello Stato membro di cui al paragrafo 4, proporre al Consiglio di sospendere parzialmente o totalmente i pagamenti relativi ai programmi o alle priorità interessati. Nella sua proposta la Commissione indica i motivi per cui è giunta alla conclusione che lo Stato membro ha omesso di adottare un'azione effettiva. Quando formula la sua proposta la Commissione tiene in considerazione tutte le informazioni pertinenti e tiene in debita considerazione ogni elemento emerso o parere espresso tramite il dialogo strutturato di cui al paragrafo 15.</w:t>
            </w:r>
          </w:p>
          <w:p w:rsidR="009E27EE" w:rsidRPr="00165777" w:rsidRDefault="009E27EE" w:rsidP="00283B85">
            <w:pPr>
              <w:autoSpaceDE w:val="0"/>
              <w:autoSpaceDN w:val="0"/>
              <w:adjustRightInd w:val="0"/>
              <w:spacing w:before="60" w:after="60"/>
              <w:jc w:val="both"/>
              <w:rPr>
                <w:rFonts w:eastAsiaTheme="minorHAnsi"/>
                <w:color w:val="000000"/>
                <w:sz w:val="20"/>
                <w:szCs w:val="20"/>
                <w:lang w:eastAsia="en-US"/>
              </w:rPr>
            </w:pPr>
          </w:p>
        </w:tc>
        <w:tc>
          <w:tcPr>
            <w:tcW w:w="2489" w:type="pct"/>
          </w:tcPr>
          <w:p w:rsidR="00C91E0B" w:rsidRPr="00165777" w:rsidRDefault="00C91E0B" w:rsidP="00283B85">
            <w:pPr>
              <w:autoSpaceDE w:val="0"/>
              <w:autoSpaceDN w:val="0"/>
              <w:adjustRightInd w:val="0"/>
              <w:spacing w:before="60" w:after="60"/>
              <w:jc w:val="both"/>
              <w:rPr>
                <w:rFonts w:eastAsiaTheme="minorHAnsi"/>
                <w:color w:val="000000"/>
                <w:sz w:val="20"/>
                <w:szCs w:val="20"/>
                <w:lang w:eastAsia="en-US"/>
              </w:rPr>
            </w:pPr>
          </w:p>
        </w:tc>
      </w:tr>
      <w:tr w:rsidR="00F74204" w:rsidRPr="00165777" w:rsidTr="00465E54">
        <w:trPr>
          <w:trHeight w:val="132"/>
        </w:trPr>
        <w:tc>
          <w:tcPr>
            <w:tcW w:w="2511" w:type="pct"/>
          </w:tcPr>
          <w:p w:rsidR="00F74204" w:rsidRPr="00165777" w:rsidRDefault="00C91E0B" w:rsidP="00165777">
            <w:pPr>
              <w:autoSpaceDE w:val="0"/>
              <w:autoSpaceDN w:val="0"/>
              <w:adjustRightInd w:val="0"/>
              <w:spacing w:before="60" w:after="60"/>
              <w:jc w:val="center"/>
              <w:rPr>
                <w:rFonts w:eastAsiaTheme="minorHAnsi"/>
                <w:b/>
                <w:i/>
                <w:iCs/>
                <w:color w:val="000000"/>
                <w:sz w:val="20"/>
                <w:szCs w:val="20"/>
                <w:lang w:eastAsia="en-US"/>
              </w:rPr>
            </w:pPr>
            <w:r w:rsidRPr="00165777">
              <w:rPr>
                <w:rFonts w:eastAsiaTheme="minorHAnsi"/>
                <w:b/>
                <w:i/>
                <w:iCs/>
                <w:color w:val="000000"/>
                <w:sz w:val="20"/>
                <w:szCs w:val="20"/>
                <w:lang w:eastAsia="en-US"/>
              </w:rPr>
              <w:lastRenderedPageBreak/>
              <w:t>Contenuto dell’Accordo di Partenariato</w:t>
            </w:r>
          </w:p>
        </w:tc>
        <w:tc>
          <w:tcPr>
            <w:tcW w:w="2489" w:type="pct"/>
          </w:tcPr>
          <w:p w:rsidR="00F74204" w:rsidRPr="00165777" w:rsidRDefault="00C91E0B" w:rsidP="00165777">
            <w:pPr>
              <w:autoSpaceDE w:val="0"/>
              <w:autoSpaceDN w:val="0"/>
              <w:adjustRightInd w:val="0"/>
              <w:spacing w:before="60" w:after="60"/>
              <w:jc w:val="center"/>
              <w:rPr>
                <w:rFonts w:eastAsiaTheme="minorHAnsi"/>
                <w:b/>
                <w:i/>
                <w:iCs/>
                <w:color w:val="000000"/>
                <w:sz w:val="20"/>
                <w:szCs w:val="20"/>
                <w:lang w:eastAsia="en-US"/>
              </w:rPr>
            </w:pPr>
            <w:r w:rsidRPr="00165777">
              <w:rPr>
                <w:rFonts w:eastAsiaTheme="minorHAnsi"/>
                <w:b/>
                <w:i/>
                <w:iCs/>
                <w:color w:val="000000"/>
                <w:sz w:val="20"/>
                <w:szCs w:val="20"/>
                <w:lang w:eastAsia="en-US"/>
              </w:rPr>
              <w:t>Contenuto (QSN)</w:t>
            </w:r>
          </w:p>
        </w:tc>
      </w:tr>
      <w:tr w:rsidR="00F74204" w:rsidRPr="00165777" w:rsidTr="00465E54">
        <w:trPr>
          <w:trHeight w:val="132"/>
        </w:trPr>
        <w:tc>
          <w:tcPr>
            <w:tcW w:w="2511" w:type="pct"/>
          </w:tcPr>
          <w:p w:rsidR="00DF5518" w:rsidRPr="00165777" w:rsidRDefault="00DF5518"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Articolo 15 </w:t>
            </w:r>
          </w:p>
          <w:p w:rsidR="00DF5518" w:rsidRPr="00165777" w:rsidRDefault="00DF5518"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Contenuto dell'accordo di partenariato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1. L'accordo di partenariato stabilisce: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a) le modalità per garantire l'allineamento con la strategia dell'Unione per una crescita intelligente, sostenibile e inclusiva, nonché le missioni specifiche di ciascun fondo </w:t>
            </w:r>
            <w:r w:rsidRPr="00165777">
              <w:rPr>
                <w:rFonts w:eastAsiaTheme="minorHAnsi"/>
                <w:color w:val="000000"/>
                <w:sz w:val="20"/>
                <w:szCs w:val="20"/>
                <w:lang w:eastAsia="en-US"/>
              </w:rPr>
              <w:lastRenderedPageBreak/>
              <w:t xml:space="preserve">secondo gli obiettivi specifici basati sul trattato, inclusa la coesione economica, sociale e territoriale, tra cui: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i) un'analisi delle disparità, delle esigenze di sviluppo e del potenziale di crescita con riguardo agli obiettivi tematici e alle sfide territoriali e tenendo conto del programma nazionale di riforma, ove appropriato, e delle raccomandazioni pertinenti specifiche per ciascun paese adottate a norma dell'articolo 121, paragrafo 2, TFUE e delle raccomandazioni pertinenti del Consiglio adottate a norma dell'articolo 148, paragrafo 4, TFUE;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ii) una sintesi delle valutazioni ex ante dei programmi o delle conclusioni essenziali della valutazione ex ante dell'accordo di partenariato qualora quest'ultima valutazione sia effettuata dallo Stato membro su propria iniziativa;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iii) gli obiettivi tematici selezionati, e per ciascuno di essi, una sintesi dei principali risultati attesi per ciascuno dei fondi SIE;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iv) la ripartizione indicativa del sostegno dell'Unione per obiettivo tematico a livello nazionale per ciascun fondo SIE, nonché l'importo complessivo indicativo del sostegno previsto per gli obiettivi relativi al cambiamento climatico;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v) l'applicazione dei principi orizzontali di cui agli articoli 5, 7 e 8 e gli obiettivi strategici per l'attuazione dei fondi SIE;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vi) l'elenco dei programmi nell'ambito del FESR, del FSE e del Fondo di coesione, tranne quelli rientranti nell'obiettivo cooperazione territoriale europea, e dei programmi del FEASR e del FEAMP, con le rispettive dotazioni annuali indicative per ciascun fondo SIE;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vii) dati sulla dotazione collegata alla riserva di efficacia dell'attuazione, disaggregati per fondo SIE e, se del caso, per categoria di regioni, e agli importi esclusi ai fini del calcolo della riserva di efficacia dell'attuazione a norma dell'articolo 20;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b) disposizioni volte a garantire l'efficace attuazione dei fondi SIE, tra cui: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i) disposizioni, conformemente al quadro istituzionale degli Stati membri, che garantiscono il coordinamento tra i fondi SIE e gli altri strumenti di finanziamento dell'Unione e nazionali e con la BEI;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ii) le informazioni necessarie per la verifica ex ante della conformità alle norme in materia di </w:t>
            </w:r>
            <w:proofErr w:type="spellStart"/>
            <w:r w:rsidRPr="00165777">
              <w:rPr>
                <w:rFonts w:eastAsiaTheme="minorHAnsi"/>
                <w:color w:val="000000"/>
                <w:sz w:val="20"/>
                <w:szCs w:val="20"/>
                <w:lang w:eastAsia="en-US"/>
              </w:rPr>
              <w:t>addizionalità</w:t>
            </w:r>
            <w:proofErr w:type="spellEnd"/>
            <w:r w:rsidRPr="00165777">
              <w:rPr>
                <w:rFonts w:eastAsiaTheme="minorHAnsi"/>
                <w:color w:val="000000"/>
                <w:sz w:val="20"/>
                <w:szCs w:val="20"/>
                <w:lang w:eastAsia="en-US"/>
              </w:rPr>
              <w:t xml:space="preserve">, definite nella parte III;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iii) una sintesi della valutazione dell'adempimento delle condizionalità ex ante applicabili ai sensi dell'articolo 19 e dell'allegato XI a livello nazionale e, ove le condizionalità ex ante applicabili non siano ottemperate, delle azioni da adottare, degli organismi responsabili e delle tempistiche di attuazione di tali azioni;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iv) la metodologia e i meccanismi volti a garantire la coerenza nel funzionamento del quadro di riferimento dell'efficacia dell'attuazione ai sensi dell'articolo 21;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lastRenderedPageBreak/>
              <w:t xml:space="preserve">v) una valutazione che indichi se sussiste o meno la necessità di rafforzare la capacità amministrativa delle autorità coinvolte nella gestione e nel controllo dei programmi e, se del caso, dei beneficiari, nonché, se necessario, una sintesi delle azioni da adottare a tale scopo;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vi) una sintesi delle azioni previste nei programmi, compreso un calendario indicativo per conseguire una riduzione degli oneri amministrativi a carico dei beneficiari;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c) disposizioni per il principio di partenariato di cui all'articolo 5;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d) un elenco indicativo dei partner di cui all'articolo 5 e una sintesi delle azioni adottate al fine di coinvolgerli a norma dell'articolo 5 e del loro ruolo nella preparazione dell'accordo di partenariato, nonché la relazione di avanzamento di cui all'articolo 52.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2. L'accordo di partenariato indica altresì: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a) un approccio integrato allo sviluppo territoriale sostenuto mediante i fondi SIE o una sintesi degli approcci integrati allo sviluppo territoriale sulla base dei contenuti dei programmi, che definisca: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i) le disposizioni volte a garantire un approccio integrato all'uso dei fondi SIE per lo sviluppo territoriale di singole aree sub</w:t>
            </w:r>
            <w:r w:rsidR="00F674D6">
              <w:rPr>
                <w:rFonts w:eastAsiaTheme="minorHAnsi"/>
                <w:color w:val="000000"/>
                <w:sz w:val="20"/>
                <w:szCs w:val="20"/>
                <w:lang w:eastAsia="en-US"/>
              </w:rPr>
              <w:t>-</w:t>
            </w:r>
            <w:r w:rsidRPr="00165777">
              <w:rPr>
                <w:rFonts w:eastAsiaTheme="minorHAnsi"/>
                <w:color w:val="000000"/>
                <w:sz w:val="20"/>
                <w:szCs w:val="20"/>
                <w:lang w:eastAsia="en-US"/>
              </w:rPr>
              <w:t>regionali, in particolare le modalità di applicazione degli articoli 32, 33 e 36, corredate dei principi per l'individuazione delle aree urbane in cui devono essere realizzate le azioni integrate per lo sviluppo urbano sostenibile;</w:t>
            </w:r>
            <w:r w:rsidR="00F674D6">
              <w:rPr>
                <w:rFonts w:eastAsiaTheme="minorHAnsi"/>
                <w:color w:val="000000"/>
                <w:sz w:val="20"/>
                <w:szCs w:val="20"/>
                <w:lang w:eastAsia="en-US"/>
              </w:rPr>
              <w:t xml:space="preserve"> </w:t>
            </w:r>
            <w:r w:rsidRPr="00165777">
              <w:rPr>
                <w:rFonts w:eastAsiaTheme="minorHAnsi"/>
                <w:color w:val="000000"/>
                <w:sz w:val="20"/>
                <w:szCs w:val="20"/>
                <w:lang w:eastAsia="en-US"/>
              </w:rPr>
              <w:t>ii) principali settori prioritari per la cooperazione nell'ambito dei fondi SIE, tenendo conto, se del caso, delle strategie macro</w:t>
            </w:r>
            <w:r w:rsidR="00F674D6">
              <w:rPr>
                <w:rFonts w:eastAsiaTheme="minorHAnsi"/>
                <w:color w:val="000000"/>
                <w:sz w:val="20"/>
                <w:szCs w:val="20"/>
                <w:lang w:eastAsia="en-US"/>
              </w:rPr>
              <w:t>-</w:t>
            </w:r>
            <w:r w:rsidRPr="00165777">
              <w:rPr>
                <w:rFonts w:eastAsiaTheme="minorHAnsi"/>
                <w:color w:val="000000"/>
                <w:sz w:val="20"/>
                <w:szCs w:val="20"/>
                <w:lang w:eastAsia="en-US"/>
              </w:rPr>
              <w:t xml:space="preserve">regionali e delle strategie relative ai bacini marittimi;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iii) se del caso, un approccio integrato per rispondere ai bisogni specifici delle aree geografiche particolarmente colpite dalla povertà o dei gruppi di destinatari a più alto rischio di discriminazione o esclusione sociale, con particolare riguardo per le comunità emarginate, le persone con disabilità, i disoccupati di lungo periodo e i giovani che non sono occupati e che non frequentano corsi di istruzione o di formazione; </w:t>
            </w:r>
          </w:p>
          <w:p w:rsidR="00DF5518" w:rsidRPr="00165777"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iv) se del caso, un approccio integrato volto ad affrontare le sfide demografiche delle regioni o a rispondere a esigenze specifiche di aree geografiche caratterizzate da gravi e permanenti svantaggi naturali o demografici di cui all'articolo 174 TFUE; </w:t>
            </w:r>
          </w:p>
          <w:p w:rsidR="00F74204" w:rsidRDefault="00DF5518"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b) modalità per garantire l'efficace attuazione dei fondi SIE, tra cui una valutazione dei sistemi esistenti per lo scambio elettronico di dati e una sintesi delle azioni pianificate per consentire gradualmente che tutti gli scambi di informazioni tra i beneficiari e le autorità responsabili della gestione e del controllo dei programmi avvengano mediante scambio elettronico dei dati.</w:t>
            </w:r>
          </w:p>
          <w:p w:rsidR="00465E54" w:rsidRDefault="00465E54" w:rsidP="00283B85">
            <w:pPr>
              <w:autoSpaceDE w:val="0"/>
              <w:autoSpaceDN w:val="0"/>
              <w:adjustRightInd w:val="0"/>
              <w:spacing w:before="60" w:after="60"/>
              <w:jc w:val="both"/>
              <w:rPr>
                <w:rFonts w:eastAsiaTheme="minorHAnsi"/>
                <w:color w:val="000000"/>
                <w:sz w:val="20"/>
                <w:szCs w:val="20"/>
                <w:lang w:eastAsia="en-US"/>
              </w:rPr>
            </w:pPr>
          </w:p>
          <w:p w:rsidR="00465E54" w:rsidRDefault="00465E54" w:rsidP="00283B85">
            <w:pPr>
              <w:autoSpaceDE w:val="0"/>
              <w:autoSpaceDN w:val="0"/>
              <w:adjustRightInd w:val="0"/>
              <w:spacing w:before="60" w:after="60"/>
              <w:jc w:val="both"/>
              <w:rPr>
                <w:rFonts w:eastAsiaTheme="minorHAnsi"/>
                <w:i/>
                <w:iCs/>
                <w:color w:val="000000"/>
                <w:sz w:val="20"/>
                <w:szCs w:val="20"/>
                <w:lang w:eastAsia="en-US"/>
              </w:rPr>
            </w:pPr>
          </w:p>
          <w:p w:rsidR="00465E54" w:rsidRPr="00165777" w:rsidRDefault="00465E54" w:rsidP="00283B85">
            <w:pPr>
              <w:autoSpaceDE w:val="0"/>
              <w:autoSpaceDN w:val="0"/>
              <w:adjustRightInd w:val="0"/>
              <w:spacing w:before="60" w:after="60"/>
              <w:jc w:val="both"/>
              <w:rPr>
                <w:rFonts w:eastAsiaTheme="minorHAnsi"/>
                <w:i/>
                <w:iCs/>
                <w:color w:val="000000"/>
                <w:sz w:val="20"/>
                <w:szCs w:val="20"/>
                <w:lang w:eastAsia="en-US"/>
              </w:rPr>
            </w:pPr>
          </w:p>
        </w:tc>
        <w:tc>
          <w:tcPr>
            <w:tcW w:w="2489" w:type="pct"/>
          </w:tcPr>
          <w:p w:rsidR="00DF5518" w:rsidRPr="00165777" w:rsidRDefault="002967C3"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lastRenderedPageBreak/>
              <w:t>Art.</w:t>
            </w:r>
            <w:r w:rsidR="0060320E" w:rsidRPr="00165777">
              <w:rPr>
                <w:rFonts w:eastAsiaTheme="minorHAnsi"/>
                <w:b/>
                <w:i/>
                <w:color w:val="000000"/>
                <w:sz w:val="20"/>
                <w:szCs w:val="20"/>
                <w:lang w:eastAsia="en-US"/>
              </w:rPr>
              <w:t xml:space="preserve"> 27</w:t>
            </w:r>
            <w:r w:rsidR="00DF5518" w:rsidRPr="00165777">
              <w:rPr>
                <w:rFonts w:eastAsiaTheme="minorHAnsi"/>
                <w:b/>
                <w:i/>
                <w:color w:val="000000"/>
                <w:sz w:val="20"/>
                <w:szCs w:val="20"/>
                <w:lang w:eastAsia="en-US"/>
              </w:rPr>
              <w:t xml:space="preserve"> </w:t>
            </w:r>
          </w:p>
          <w:p w:rsidR="00F74204" w:rsidRPr="00165777" w:rsidRDefault="00DF5518"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Contenuto</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Lo Stato membro presenta un quadro di riferimento strategico nazionale che assicura la coerenza dell'intervento dei Fondi con gli orientamenti strategici comunitari per la coesione e che identifica il collegamento con le priorità della Comunità, da un lato, e con il proprio programma nazionale di riforma, dall'altro.</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lastRenderedPageBreak/>
              <w:t>2. Ciascun quadro di riferimento strategico nazionale costituisce uno strumento di riferimento per preparare la programmazione dei Fondi.</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3. Il quadro di riferimento strategico nazionale si applica all'obiettivo «Convergenza» e all'obiettivo «Competitività regionale e occupazione». Esso può inoltre, se uno Stato membro lo decide, applicarsi all'obiettivo «Cooperazione territoriale europea», lasciando impregiudicate le scelte future di altri Stati membri interessati.</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4. Il quadro di riferimento strategico nazionale contiene i seguenti elementi:</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a) un'analisi delle disparità, dei ritardi e delle potenzialità di sviluppo, tenendo conto delle tendenze dell'economia europea e mondiale;</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b) la strategia scelta in base a tale analisi, comprese le priorità tematiche e territoriali. Se del caso, tali priorità includono azioni relative allo sviluppo urbano sostenibile, alla diversificazione delle economie rurali e alle zone dipendenti dalla pesca;</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c) l'elenco dei programmi operativi per gli obiettivi «Convergenza» e «Competitività regionale e occupazione»;</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d) una descrizione del modo in cui la spesa per gli obiettivi</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«Convergenza» e «Competitività regionale e occupazione» contribuisce alle priorità dell'Unione Europea di promuovere la competitività e di creare posti di lavoro, compreso il raggiungimento degli obiettivi degli orientamenti integrati per la crescita e l'occupazione (2005-2008), di cui all'articolo</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9, paragrafo 3;</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e) la dotazione annuale indicativa di ciascun Fondo per programma;</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f) unicamente per le regioni dell'obiettivo «Convergenza»:</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i) l'azione prevista per rafforzare l'efficienza amministrativa dello Stato membro;</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ii) l'importo della dotazione annuale complessiva prevista nell'ambito del FEASR e del FEP;</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 xml:space="preserve">iii) le informazioni necessarie per la verifica ex ante del rispetto del principio di </w:t>
            </w:r>
            <w:proofErr w:type="spellStart"/>
            <w:r w:rsidRPr="00165777">
              <w:rPr>
                <w:rFonts w:eastAsiaTheme="minorHAnsi"/>
                <w:color w:val="000000"/>
                <w:sz w:val="20"/>
                <w:szCs w:val="20"/>
                <w:lang w:eastAsia="en-US"/>
              </w:rPr>
              <w:t>addizionalità</w:t>
            </w:r>
            <w:proofErr w:type="spellEnd"/>
            <w:r w:rsidRPr="00165777">
              <w:rPr>
                <w:rFonts w:eastAsiaTheme="minorHAnsi"/>
                <w:color w:val="000000"/>
                <w:sz w:val="20"/>
                <w:szCs w:val="20"/>
                <w:lang w:eastAsia="en-US"/>
              </w:rPr>
              <w:t xml:space="preserve"> di cui all'articolo</w:t>
            </w:r>
            <w:r w:rsidR="00465E54">
              <w:rPr>
                <w:rFonts w:eastAsiaTheme="minorHAnsi"/>
                <w:color w:val="000000"/>
                <w:sz w:val="20"/>
                <w:szCs w:val="20"/>
                <w:lang w:eastAsia="en-US"/>
              </w:rPr>
              <w:t xml:space="preserve"> </w:t>
            </w:r>
            <w:r w:rsidRPr="00165777">
              <w:rPr>
                <w:rFonts w:eastAsiaTheme="minorHAnsi"/>
                <w:color w:val="000000"/>
                <w:sz w:val="20"/>
                <w:szCs w:val="20"/>
                <w:lang w:eastAsia="en-US"/>
              </w:rPr>
              <w:t>15;</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g) per gli Stati membri ammissibili al Fondo di coesione ai sensi dell'articolo 5, paragrafo 2 e dell'articolo 8, paragrafo 3, le informazioni sui meccanismi volti ad assicurare il coordinamento tra i programmi operativi stessi e tra questi e il</w:t>
            </w:r>
            <w:r w:rsidR="002F2808" w:rsidRPr="00165777">
              <w:rPr>
                <w:rFonts w:eastAsiaTheme="minorHAnsi"/>
                <w:color w:val="000000"/>
                <w:sz w:val="20"/>
                <w:szCs w:val="20"/>
                <w:lang w:eastAsia="en-US"/>
              </w:rPr>
              <w:t xml:space="preserve"> </w:t>
            </w:r>
            <w:r w:rsidRPr="00165777">
              <w:rPr>
                <w:rFonts w:eastAsiaTheme="minorHAnsi"/>
                <w:color w:val="000000"/>
                <w:sz w:val="20"/>
                <w:szCs w:val="20"/>
                <w:lang w:eastAsia="en-US"/>
              </w:rPr>
              <w:t>FEASR, il FEP, e, se del caso, gli interventi della BEI e di altri strumenti finanziari esistenti.</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5. Il quadro di riferimento strategico nazionale può inoltre contenere, se opportuno:</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a) la procedura per il coordinamento tra la politica di coesione della Comunità e le politiche pertinenti a livello nazionale, settoriale e regionale degli Stati membri interessati;</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b) per gli Stati membri diversi da quelli di cui al paragrafo 4, lettera g), informazione sui meccanismi volti ad assicurare il coordinamento tra gli stessi programmi operativi e tra questi e il FEASR, il FEP, e gli interventi della BEI e di altri strumenti finanziari esistenti.</w:t>
            </w:r>
          </w:p>
          <w:p w:rsidR="002967C3" w:rsidRPr="00165777" w:rsidRDefault="002967C3"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6. Le informazioni contenute nel quadro di riferimento strategico nazionale tengono conto dell'ordinamento di ciascuno Stato membro.</w:t>
            </w:r>
          </w:p>
        </w:tc>
      </w:tr>
    </w:tbl>
    <w:p w:rsidR="00465E54" w:rsidRDefault="00465E54"/>
    <w:tbl>
      <w:tblPr>
        <w:tblW w:w="5037" w:type="pct"/>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3"/>
        <w:gridCol w:w="7160"/>
      </w:tblGrid>
      <w:tr w:rsidR="00FF5DD1" w:rsidRPr="00165777" w:rsidTr="009E27EE">
        <w:trPr>
          <w:trHeight w:val="132"/>
        </w:trPr>
        <w:tc>
          <w:tcPr>
            <w:tcW w:w="2511" w:type="pct"/>
          </w:tcPr>
          <w:p w:rsidR="00FF5DD1" w:rsidRPr="00165777" w:rsidRDefault="000C736C" w:rsidP="00165777">
            <w:pPr>
              <w:jc w:val="center"/>
              <w:rPr>
                <w:sz w:val="20"/>
                <w:szCs w:val="20"/>
              </w:rPr>
            </w:pPr>
            <w:r w:rsidRPr="00165777">
              <w:rPr>
                <w:rFonts w:eastAsiaTheme="minorHAnsi"/>
                <w:b/>
                <w:i/>
                <w:iCs/>
                <w:color w:val="000000"/>
                <w:sz w:val="20"/>
                <w:szCs w:val="20"/>
                <w:lang w:eastAsia="en-US"/>
              </w:rPr>
              <w:t>Evoluzione della Strategia (</w:t>
            </w:r>
            <w:proofErr w:type="spellStart"/>
            <w:r w:rsidRPr="00165777">
              <w:rPr>
                <w:rFonts w:eastAsiaTheme="minorHAnsi"/>
                <w:b/>
                <w:i/>
                <w:iCs/>
                <w:color w:val="000000"/>
                <w:sz w:val="20"/>
                <w:szCs w:val="20"/>
                <w:lang w:eastAsia="en-US"/>
              </w:rPr>
              <w:t>AdP</w:t>
            </w:r>
            <w:proofErr w:type="spellEnd"/>
            <w:r w:rsidRPr="00165777">
              <w:rPr>
                <w:rFonts w:eastAsiaTheme="minorHAnsi"/>
                <w:b/>
                <w:i/>
                <w:iCs/>
                <w:color w:val="000000"/>
                <w:sz w:val="20"/>
                <w:szCs w:val="20"/>
                <w:lang w:eastAsia="en-US"/>
              </w:rPr>
              <w:t>)</w:t>
            </w:r>
          </w:p>
        </w:tc>
        <w:tc>
          <w:tcPr>
            <w:tcW w:w="2489" w:type="pct"/>
          </w:tcPr>
          <w:p w:rsidR="00FF5DD1" w:rsidRPr="00165777" w:rsidRDefault="000C736C" w:rsidP="00165777">
            <w:pPr>
              <w:jc w:val="center"/>
              <w:rPr>
                <w:sz w:val="20"/>
                <w:szCs w:val="20"/>
              </w:rPr>
            </w:pPr>
            <w:r w:rsidRPr="00165777">
              <w:rPr>
                <w:rFonts w:eastAsiaTheme="minorHAnsi"/>
                <w:b/>
                <w:i/>
                <w:iCs/>
                <w:color w:val="000000"/>
                <w:sz w:val="20"/>
                <w:szCs w:val="20"/>
                <w:lang w:eastAsia="en-US"/>
              </w:rPr>
              <w:t>Evoluzione della Strategia (QSN)</w:t>
            </w:r>
          </w:p>
        </w:tc>
      </w:tr>
      <w:tr w:rsidR="00F74204" w:rsidRPr="00165777" w:rsidTr="009E27EE">
        <w:trPr>
          <w:trHeight w:val="132"/>
        </w:trPr>
        <w:tc>
          <w:tcPr>
            <w:tcW w:w="2511" w:type="pct"/>
          </w:tcPr>
          <w:p w:rsidR="000C736C" w:rsidRPr="00165777" w:rsidRDefault="000C736C"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Articolo 52 </w:t>
            </w:r>
          </w:p>
          <w:p w:rsidR="000C736C" w:rsidRPr="00165777" w:rsidRDefault="000C736C"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Relazione sullo stato dei lavori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1. Entro il 31 agosto 2017 e il 31 agosto 2019, lo Stato membro presenta alla Commissione una relazione sullo stato dei lavori concernente l'esecuzione dell'accordo di partenariato rispettivamente al 31 dicembre 2016 e al 31 dicembre 2018.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2. La relazione sullo stato dei lavori contiene informazioni e valutazioni in merito a quanto segue: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a) cambiamenti nelle esigenze di sviluppo nello Stato membro dall'adozione dell'accordo di partenariato;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b) progressi compiuti nella realizzazione della strategia dell'Unione per una crescita intelligente, sostenibile e inclusiva, nonché nelle missioni specifiche di ciascun fondo di cui all'articolo 4, paragrafo 1, mediante il contributo dei fondi SIE agli obiettivi tematici selezionati, in particolare rispetto ai target intermedi stabiliti nel quadro di riferimento dell'efficacia dell'attuazione per ciascun programma e al sostegno utilizzato per gli obiettivi relativi al cambiamento climatico;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c) effettiva attuazione, secondo il calendario stabilito, delle azioni per adempiere condizionalità ex ante applicabili definite nell'accordo di partenariato e non soddisfatte alla data di adozione dell'accordo di partenariato. Tale punto si applica esclusivamente alla relazione sullo stato dei lavori da presentare nel il 2017;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d) attuazione di meccanismi per garantire il coordinamento tra i fondi SIE e altri strumenti di finanziamento dell'Unione e nazionali e con la BEI;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e) attuazione dell'approccio integrato allo sviluppo territoriale, o una sintesi dell'attuazione degli approcci integrati basati sui programmi, compresi i progressi nella realizzazione degli ambiti prioritari stabiliti per la cooperazione;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f) se del caso, azioni intraprese per rafforzare la capacità delle autorità degli Stati membri e dei beneficiari di amministrare e utilizzare i fondi SIE; </w:t>
            </w:r>
          </w:p>
          <w:p w:rsidR="00F74204"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g) azioni adottate e risultati conseguiti nell'ottica della riduzione degli oneri amministrativi a carico dei beneficiari;</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h) ruolo dei partner di cui all'articolo 5 nell'esecuzione dell'accordo di partenariato;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i) una sintesi del</w:t>
            </w:r>
            <w:r w:rsidR="00385678" w:rsidRPr="00165777">
              <w:rPr>
                <w:rFonts w:eastAsiaTheme="minorHAnsi"/>
                <w:color w:val="000000"/>
                <w:sz w:val="20"/>
                <w:szCs w:val="20"/>
                <w:lang w:eastAsia="en-US"/>
              </w:rPr>
              <w:t xml:space="preserve">le azioni adottate in relazione </w:t>
            </w:r>
            <w:r w:rsidRPr="00165777">
              <w:rPr>
                <w:rFonts w:eastAsiaTheme="minorHAnsi"/>
                <w:color w:val="000000"/>
                <w:sz w:val="20"/>
                <w:szCs w:val="20"/>
                <w:lang w:eastAsia="en-US"/>
              </w:rPr>
              <w:t xml:space="preserve">all'applicazione dei principi orizzontali di cui agli articolo 5, 7 e 8 e degli obiettivi politici per l'attuazione dei fondi SIE.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3. Qualora, entro due mesi dalla data di presentazione della relazione sullo stato dei lavori, la Commissione stabilisca che le informazioni presentate sono incomplete o poco chiare, tanto da incidere in maniera significativa sulla qualità e l'affidabilità della valutazione in questione, può richiedere ulteriori informazioni agli Stati membri, a condizione che tale richiesta non determini ritardi immotivati e fornendo motivazioni </w:t>
            </w:r>
            <w:r w:rsidRPr="00165777">
              <w:rPr>
                <w:rFonts w:eastAsiaTheme="minorHAnsi"/>
                <w:color w:val="000000"/>
                <w:sz w:val="20"/>
                <w:szCs w:val="20"/>
                <w:lang w:eastAsia="en-US"/>
              </w:rPr>
              <w:lastRenderedPageBreak/>
              <w:t xml:space="preserve">dell'asserita mancanza di qualità e affidabilità. Lo Stato membro fornisce le informazioni richieste alla Commissione entro tre mesi e, se del caso, rivede di conseguenza la relazione sullo stato dei lavori.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4. Al fine di garantire condizioni uniformi di esecuzione del presente articolo, la Commissione adotta atti di esecuzione stabilendo il modello da utilizzare per la presentazione della relazione sullo stato dei lavori. Tali atti di esecuzione sono adottati secondo la procedura consultiva di cui all'articolo 150, paragrafo 2.</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p>
        </w:tc>
        <w:tc>
          <w:tcPr>
            <w:tcW w:w="2489" w:type="pct"/>
          </w:tcPr>
          <w:p w:rsidR="00FF5DD1" w:rsidRPr="00165777" w:rsidRDefault="00FF5DD1"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lastRenderedPageBreak/>
              <w:t>Articolo 29</w:t>
            </w:r>
          </w:p>
          <w:p w:rsidR="00FF5DD1" w:rsidRPr="00165777" w:rsidRDefault="00FF5DD1"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Rapporto strategico degli Stati membri</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1. Per la prima volta nel 2007, ciascuno Stato membro inserisce nel rapporto annuale di attuazione del proprio programma nazionale di riforma una sezione sintetica sul contributo dei programmi operativi cofinanziati dai Fondi ai fini dell'attuazione del programma nazionale di riforma.</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2. Entro e non oltre la fine del 2009 e del 2012, gli Stati membri forniscono un rapporto sintetico recante informazioni sul contributo dei programmi cofinanziati dai Fondi</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a) alla realizzazione degli obiettivi della politica di coesione definiti dal trattato;</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b) all'adempimento delle missioni dei Fondi di cui al presente regolamento;</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c) all'attuazione delle priorità precisate negli orientamenti strategici comunitari per la coesione di cui all'articolo 25 e specificate nelle priorità definite dal quadro di riferimento strategico nazionale di cui all'articolo 27; e</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d) alla realizzazione dell'obiettivo di promuovere la competitività e creare posti di lavoro, mirando inoltre al raggiungimento degli obiettivi degli orientamenti integrati per la crescita e l'occupazione (2005-2008), come previsto all'articolo 9, paragrafo 3.</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3. Ciascuno Stato membro definisce il contenuto dei rapporti di cui al paragrafo 2 al fine di individuare: </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a) la situazione e le tendenze socioeconomiche;</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b) i risultati, le sfide e le prospettive future per quanto riguarda l'attuazione della strategia concordata; e</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c) esempi di buone prassi.</w:t>
            </w:r>
          </w:p>
          <w:p w:rsidR="00F74204"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4. Ogni rimando al programma nazionale di riforma nel presente articolo si riferisce agli orientamenti integrati per la crescita e l'occupazione (2005-2008) e vale in pari misura per qualsiasi orientamento equivalente definito dal Consiglio europeo.</w:t>
            </w:r>
          </w:p>
        </w:tc>
      </w:tr>
      <w:tr w:rsidR="00F74204" w:rsidRPr="00165777" w:rsidTr="009E27EE">
        <w:trPr>
          <w:trHeight w:val="132"/>
        </w:trPr>
        <w:tc>
          <w:tcPr>
            <w:tcW w:w="2511" w:type="pct"/>
          </w:tcPr>
          <w:p w:rsidR="00F74204" w:rsidRPr="00165777" w:rsidRDefault="000C736C" w:rsidP="00165777">
            <w:pPr>
              <w:autoSpaceDE w:val="0"/>
              <w:autoSpaceDN w:val="0"/>
              <w:adjustRightInd w:val="0"/>
              <w:spacing w:before="60" w:after="60"/>
              <w:jc w:val="center"/>
              <w:rPr>
                <w:rFonts w:eastAsiaTheme="minorHAnsi"/>
                <w:color w:val="000000"/>
                <w:sz w:val="20"/>
                <w:szCs w:val="20"/>
                <w:lang w:eastAsia="en-US"/>
              </w:rPr>
            </w:pPr>
            <w:r w:rsidRPr="00165777">
              <w:rPr>
                <w:rFonts w:eastAsiaTheme="minorHAnsi"/>
                <w:b/>
                <w:i/>
                <w:iCs/>
                <w:color w:val="000000"/>
                <w:sz w:val="20"/>
                <w:szCs w:val="20"/>
                <w:lang w:eastAsia="en-US"/>
              </w:rPr>
              <w:lastRenderedPageBreak/>
              <w:t>Le risposte strategiche della Commissione</w:t>
            </w:r>
          </w:p>
        </w:tc>
        <w:tc>
          <w:tcPr>
            <w:tcW w:w="2489" w:type="pct"/>
          </w:tcPr>
          <w:p w:rsidR="00F74204" w:rsidRPr="00165777" w:rsidRDefault="000C736C" w:rsidP="00165777">
            <w:pPr>
              <w:autoSpaceDE w:val="0"/>
              <w:autoSpaceDN w:val="0"/>
              <w:adjustRightInd w:val="0"/>
              <w:spacing w:before="60" w:after="60"/>
              <w:jc w:val="center"/>
              <w:rPr>
                <w:rFonts w:eastAsiaTheme="minorHAnsi"/>
                <w:color w:val="000000"/>
                <w:sz w:val="20"/>
                <w:szCs w:val="20"/>
                <w:lang w:eastAsia="en-US"/>
              </w:rPr>
            </w:pPr>
            <w:r w:rsidRPr="00165777">
              <w:rPr>
                <w:rFonts w:eastAsiaTheme="minorHAnsi"/>
                <w:b/>
                <w:i/>
                <w:iCs/>
                <w:color w:val="000000"/>
                <w:sz w:val="20"/>
                <w:szCs w:val="20"/>
                <w:lang w:eastAsia="en-US"/>
              </w:rPr>
              <w:t>Le risposte strategiche della Commissione</w:t>
            </w:r>
          </w:p>
        </w:tc>
      </w:tr>
      <w:tr w:rsidR="00F74204" w:rsidRPr="00165777" w:rsidTr="009E27EE">
        <w:trPr>
          <w:trHeight w:val="132"/>
        </w:trPr>
        <w:tc>
          <w:tcPr>
            <w:tcW w:w="2511" w:type="pct"/>
          </w:tcPr>
          <w:p w:rsidR="000C736C" w:rsidRPr="00165777" w:rsidRDefault="000C736C"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Articolo 53 </w:t>
            </w:r>
          </w:p>
          <w:p w:rsidR="000C736C" w:rsidRPr="00165777" w:rsidRDefault="000C736C"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Relazioni della Commissione e discussione sui fondi SIE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1. A partire dal 2016 la Commissione trasmette ogni anno al Parlamento europeo, al Consiglio, al Comitato economico e sociale europeo e al Comitato delle regioni una relazione di sintesi inerente ai programmi dei fondi SIE basata sulle relazioni di attuazione annuali degli Stati membri presentate ai sensi dell'articolo 50, nonché una sintesi dei risultati delle valutazioni disponibili dei programmi. Nel 2017 e 2019 la relazione di sintesi forma parte integrante della relazione strategica di cui al paragrafo 2.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2. Nel 2017 e nel 2019 la Commissione redige una relazione strategica che sintetizza le relazioni sullo stato dei lavori degli Stati membri, relazione che presenta rispettivamente entro il 31 dicembre 2017 e il 31 dicembre 2019 al Parlamento europeo, al Consiglio, al Comitato economico e sociale europeo e al Comitato delle regioni e tali istituzioni sono invitate a tenere un dibattito in merito. </w:t>
            </w:r>
          </w:p>
          <w:p w:rsidR="000C736C" w:rsidRPr="00165777" w:rsidRDefault="000C736C"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3. Il Consiglio discute la relazione strategica con particolare attenzione al contributo dei fondi SIE al conseguimento della strategia dell'Unione per una crescita intelligente, sostenibile e inclusiva, ed è invitato ad apportare il suo contributo alla riunione di primavera del Consiglio europeo. </w:t>
            </w:r>
          </w:p>
          <w:p w:rsidR="000C736C" w:rsidRPr="00165777" w:rsidRDefault="000C736C" w:rsidP="00B97DE4">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4. Su base biennale, a partire dal 2018, la Commissione include nella sua relazione annuale sullo stato dei lavori, presentata alla riunione di primavera del Consiglio europeo, una sezione che riassume le relazioni più recenti di cui ai paragrafi 1 e 2, ponendo l'accento sul contributo dei fondi SIE ai progressi compiuti per la realizzazione della strategia dell'Unione per una crescita intelligente, sostenibile e inclusiva.</w:t>
            </w:r>
          </w:p>
        </w:tc>
        <w:tc>
          <w:tcPr>
            <w:tcW w:w="2489" w:type="pct"/>
          </w:tcPr>
          <w:p w:rsidR="00FF5DD1" w:rsidRPr="00165777" w:rsidRDefault="00FF5DD1"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Articolo 30</w:t>
            </w:r>
          </w:p>
          <w:p w:rsidR="00FF5DD1" w:rsidRPr="00165777" w:rsidRDefault="00FF5DD1"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Rapporto strategico della Commissione e dibattito sulla politica di coesione</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1. Per la prima volta nel 2008 e in seguito a cadenza annuale, la Commissione inserisce nel suo rapporto annuale sullo stato dei lavori da presentare al Consiglio europeo di</w:t>
            </w:r>
            <w:r w:rsidR="00385678" w:rsidRPr="00165777">
              <w:rPr>
                <w:rFonts w:eastAsiaTheme="minorHAnsi"/>
                <w:color w:val="000000"/>
                <w:sz w:val="20"/>
                <w:szCs w:val="20"/>
                <w:lang w:eastAsia="en-US"/>
              </w:rPr>
              <w:t xml:space="preserve"> </w:t>
            </w:r>
            <w:r w:rsidRPr="00165777">
              <w:rPr>
                <w:rFonts w:eastAsiaTheme="minorHAnsi"/>
                <w:color w:val="000000"/>
                <w:sz w:val="20"/>
                <w:szCs w:val="20"/>
                <w:lang w:eastAsia="en-US"/>
              </w:rPr>
              <w:t>primavera una sezione che sintetizza i rapporti degli Stati membri di cui all'articolo 29, paragrafo 1, in particolare i progressi compiuti nel realizzare le priorità dell'Unione Europea intese a promuovere la competitività e a creare posti di lavoro, nonché a raggiungere gli obiettivi degli orientamenti integrati per la crescita e l'occupazione (2005-2008), come previsto all'articolo 9, paragrafo 3.</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2. Nel 2010 e nel 2013 e al più tardi entro il 1o </w:t>
            </w:r>
            <w:r w:rsidR="00385678" w:rsidRPr="00165777">
              <w:rPr>
                <w:rFonts w:eastAsiaTheme="minorHAnsi"/>
                <w:color w:val="000000"/>
                <w:sz w:val="20"/>
                <w:szCs w:val="20"/>
                <w:lang w:eastAsia="en-US"/>
              </w:rPr>
              <w:t xml:space="preserve">aprile, la </w:t>
            </w:r>
            <w:r w:rsidRPr="00165777">
              <w:rPr>
                <w:rFonts w:eastAsiaTheme="minorHAnsi"/>
                <w:color w:val="000000"/>
                <w:sz w:val="20"/>
                <w:szCs w:val="20"/>
                <w:lang w:eastAsia="en-US"/>
              </w:rPr>
              <w:t xml:space="preserve">Commissione elabora un rapporto strategico che sintetizza i rapporti degli Stati membri di cui all'articolo 29, paragrafo 2. </w:t>
            </w:r>
          </w:p>
          <w:p w:rsidR="00FF5DD1"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Ove opportuno, tale rapporto è in</w:t>
            </w:r>
            <w:r w:rsidR="00385678" w:rsidRPr="00165777">
              <w:rPr>
                <w:rFonts w:eastAsiaTheme="minorHAnsi"/>
                <w:color w:val="000000"/>
                <w:sz w:val="20"/>
                <w:szCs w:val="20"/>
                <w:lang w:eastAsia="en-US"/>
              </w:rPr>
              <w:t xml:space="preserve">serito, come sezione </w:t>
            </w:r>
            <w:r w:rsidRPr="00165777">
              <w:rPr>
                <w:rFonts w:eastAsiaTheme="minorHAnsi"/>
                <w:color w:val="000000"/>
                <w:sz w:val="20"/>
                <w:szCs w:val="20"/>
                <w:lang w:eastAsia="en-US"/>
              </w:rPr>
              <w:t>specifica, nella relazione di cui all'articolo 159 del trattato.</w:t>
            </w:r>
          </w:p>
          <w:p w:rsidR="00385678"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 xml:space="preserve">3. Il Consiglio esamina il rapporto strategico di cui al paragrafo 2 nel più breve tempo possibile dopo la sua pubblicazione. </w:t>
            </w:r>
            <w:r w:rsidR="00385678" w:rsidRPr="00165777">
              <w:rPr>
                <w:rFonts w:eastAsiaTheme="minorHAnsi"/>
                <w:color w:val="000000"/>
                <w:sz w:val="20"/>
                <w:szCs w:val="20"/>
                <w:lang w:eastAsia="en-US"/>
              </w:rPr>
              <w:t xml:space="preserve"> </w:t>
            </w:r>
          </w:p>
          <w:p w:rsidR="00F74204" w:rsidRPr="00165777" w:rsidRDefault="00FF5DD1" w:rsidP="00283B85">
            <w:pPr>
              <w:autoSpaceDE w:val="0"/>
              <w:autoSpaceDN w:val="0"/>
              <w:adjustRightInd w:val="0"/>
              <w:spacing w:before="60" w:after="60"/>
              <w:jc w:val="both"/>
              <w:rPr>
                <w:rFonts w:eastAsiaTheme="minorHAnsi"/>
                <w:color w:val="000000"/>
                <w:sz w:val="20"/>
                <w:szCs w:val="20"/>
                <w:lang w:eastAsia="en-US"/>
              </w:rPr>
            </w:pPr>
            <w:r w:rsidRPr="00165777">
              <w:rPr>
                <w:rFonts w:eastAsiaTheme="minorHAnsi"/>
                <w:color w:val="000000"/>
                <w:sz w:val="20"/>
                <w:szCs w:val="20"/>
                <w:lang w:eastAsia="en-US"/>
              </w:rPr>
              <w:t>Esso è trasmesso al Parlamento europeo, al Comitato</w:t>
            </w:r>
            <w:r w:rsidR="00385678" w:rsidRPr="00165777">
              <w:rPr>
                <w:rFonts w:eastAsiaTheme="minorHAnsi"/>
                <w:color w:val="000000"/>
                <w:sz w:val="20"/>
                <w:szCs w:val="20"/>
                <w:lang w:eastAsia="en-US"/>
              </w:rPr>
              <w:t xml:space="preserve"> </w:t>
            </w:r>
            <w:r w:rsidRPr="00165777">
              <w:rPr>
                <w:rFonts w:eastAsiaTheme="minorHAnsi"/>
                <w:color w:val="000000"/>
                <w:sz w:val="20"/>
                <w:szCs w:val="20"/>
                <w:lang w:eastAsia="en-US"/>
              </w:rPr>
              <w:t>economico e sociale europeo e</w:t>
            </w:r>
            <w:r w:rsidR="00385678" w:rsidRPr="00165777">
              <w:rPr>
                <w:rFonts w:eastAsiaTheme="minorHAnsi"/>
                <w:color w:val="000000"/>
                <w:sz w:val="20"/>
                <w:szCs w:val="20"/>
                <w:lang w:eastAsia="en-US"/>
              </w:rPr>
              <w:t xml:space="preserve"> al Comitato delle regioni, </w:t>
            </w:r>
            <w:r w:rsidRPr="00165777">
              <w:rPr>
                <w:rFonts w:eastAsiaTheme="minorHAnsi"/>
                <w:color w:val="000000"/>
                <w:sz w:val="20"/>
                <w:szCs w:val="20"/>
                <w:lang w:eastAsia="en-US"/>
              </w:rPr>
              <w:t>che sono invitate a tenere un dibattito in merito.</w:t>
            </w:r>
          </w:p>
        </w:tc>
      </w:tr>
      <w:tr w:rsidR="00F74204" w:rsidRPr="00165777" w:rsidTr="009E27EE">
        <w:trPr>
          <w:trHeight w:val="132"/>
        </w:trPr>
        <w:tc>
          <w:tcPr>
            <w:tcW w:w="2511" w:type="pct"/>
          </w:tcPr>
          <w:p w:rsidR="00F74204" w:rsidRPr="00165777" w:rsidRDefault="000C736C" w:rsidP="00165777">
            <w:pPr>
              <w:autoSpaceDE w:val="0"/>
              <w:autoSpaceDN w:val="0"/>
              <w:adjustRightInd w:val="0"/>
              <w:spacing w:before="60" w:after="60"/>
              <w:jc w:val="center"/>
              <w:rPr>
                <w:rFonts w:eastAsiaTheme="minorHAnsi"/>
                <w:color w:val="000000"/>
                <w:sz w:val="20"/>
                <w:szCs w:val="20"/>
                <w:lang w:eastAsia="en-US"/>
              </w:rPr>
            </w:pPr>
            <w:r w:rsidRPr="00165777">
              <w:rPr>
                <w:rFonts w:eastAsiaTheme="minorHAnsi"/>
                <w:b/>
                <w:i/>
                <w:iCs/>
                <w:color w:val="000000"/>
                <w:sz w:val="20"/>
                <w:szCs w:val="20"/>
                <w:lang w:eastAsia="en-US"/>
              </w:rPr>
              <w:t>Relazione sulla coesione</w:t>
            </w:r>
          </w:p>
        </w:tc>
        <w:tc>
          <w:tcPr>
            <w:tcW w:w="2489" w:type="pct"/>
          </w:tcPr>
          <w:p w:rsidR="00F74204" w:rsidRPr="00165777" w:rsidRDefault="000C736C" w:rsidP="00165777">
            <w:pPr>
              <w:autoSpaceDE w:val="0"/>
              <w:autoSpaceDN w:val="0"/>
              <w:adjustRightInd w:val="0"/>
              <w:spacing w:before="60" w:after="60"/>
              <w:jc w:val="center"/>
              <w:rPr>
                <w:rFonts w:eastAsiaTheme="minorHAnsi"/>
                <w:color w:val="000000"/>
                <w:sz w:val="20"/>
                <w:szCs w:val="20"/>
                <w:lang w:eastAsia="en-US"/>
              </w:rPr>
            </w:pPr>
            <w:r w:rsidRPr="00165777">
              <w:rPr>
                <w:rFonts w:eastAsiaTheme="minorHAnsi"/>
                <w:b/>
                <w:i/>
                <w:iCs/>
                <w:color w:val="000000"/>
                <w:sz w:val="20"/>
                <w:szCs w:val="20"/>
                <w:lang w:eastAsia="en-US"/>
              </w:rPr>
              <w:t>Relazione sulla coesione</w:t>
            </w:r>
          </w:p>
        </w:tc>
      </w:tr>
      <w:tr w:rsidR="00F74204" w:rsidRPr="00165777" w:rsidTr="009E27EE">
        <w:trPr>
          <w:trHeight w:val="132"/>
        </w:trPr>
        <w:tc>
          <w:tcPr>
            <w:tcW w:w="2511" w:type="pct"/>
          </w:tcPr>
          <w:p w:rsidR="000C736C" w:rsidRPr="00165777" w:rsidRDefault="000C736C"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Articolo 113 </w:t>
            </w:r>
          </w:p>
          <w:p w:rsidR="000C736C" w:rsidRPr="00165777" w:rsidRDefault="000C736C"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 xml:space="preserve">Relazione sulla coesione </w:t>
            </w:r>
          </w:p>
          <w:p w:rsidR="000C736C" w:rsidRPr="00165777" w:rsidRDefault="000C736C" w:rsidP="00165777">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 xml:space="preserve">La relazione della Commissione di cui all'articolo 175 TFUE comprende: </w:t>
            </w:r>
          </w:p>
          <w:p w:rsidR="000C736C" w:rsidRPr="00165777" w:rsidRDefault="000C736C" w:rsidP="00165777">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 xml:space="preserve">a) un bilancio dei progressi compiuti nella realizzazione della coesione economica, sociale e territoriale, compresi la situazione socioeconomica e lo sviluppo delle regioni, nonché l'integrazione delle priorità dell'Unione; </w:t>
            </w:r>
          </w:p>
          <w:p w:rsidR="00F74204" w:rsidRPr="00165777" w:rsidRDefault="000C736C" w:rsidP="00165777">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lastRenderedPageBreak/>
              <w:t>b) un bilancio del ruolo dei fondi, il finanziamento della BEI e degli altri strumenti, nonché l'effetto delle altre politiche dell'Unione e nazionali sui progressi compiuti;</w:t>
            </w:r>
          </w:p>
          <w:p w:rsidR="000C736C" w:rsidRPr="00165777" w:rsidRDefault="000C736C" w:rsidP="00165777">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c) se del caso, un'indicazione delle future misure dell'Unione e delle politiche necessarie per rafforzare la coesione economica, sociale e territoriale nonché per realizzare le priorità dell'Unione.</w:t>
            </w:r>
          </w:p>
        </w:tc>
        <w:tc>
          <w:tcPr>
            <w:tcW w:w="2489" w:type="pct"/>
          </w:tcPr>
          <w:p w:rsidR="00FF5DD1" w:rsidRPr="00165777" w:rsidRDefault="00FF5DD1"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lastRenderedPageBreak/>
              <w:t>Articolo 31</w:t>
            </w:r>
          </w:p>
          <w:p w:rsidR="00FF5DD1" w:rsidRPr="00165777" w:rsidRDefault="00FF5DD1" w:rsidP="00283B85">
            <w:pPr>
              <w:autoSpaceDE w:val="0"/>
              <w:autoSpaceDN w:val="0"/>
              <w:adjustRightInd w:val="0"/>
              <w:jc w:val="both"/>
              <w:rPr>
                <w:rFonts w:eastAsiaTheme="minorHAnsi"/>
                <w:b/>
                <w:i/>
                <w:color w:val="000000"/>
                <w:sz w:val="20"/>
                <w:szCs w:val="20"/>
                <w:lang w:eastAsia="en-US"/>
              </w:rPr>
            </w:pPr>
            <w:r w:rsidRPr="00165777">
              <w:rPr>
                <w:rFonts w:eastAsiaTheme="minorHAnsi"/>
                <w:b/>
                <w:i/>
                <w:color w:val="000000"/>
                <w:sz w:val="20"/>
                <w:szCs w:val="20"/>
                <w:lang w:eastAsia="en-US"/>
              </w:rPr>
              <w:t>Relazione sulla coesione</w:t>
            </w:r>
          </w:p>
          <w:p w:rsidR="00FF5DD1" w:rsidRPr="00165777" w:rsidRDefault="00FF5DD1"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1. La relazione della Commissione di cui all'articolo 159 del trattato comprende in particolare:</w:t>
            </w:r>
          </w:p>
          <w:p w:rsidR="00FF5DD1" w:rsidRPr="00165777" w:rsidRDefault="00FF5DD1"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lastRenderedPageBreak/>
              <w:t>a) un bilancio dei progressi compiuti in materia di coesione economica e sociale, inclusa la situazione socioeconomica e lo sviluppo delle regioni, nonché l'integrazione delle priorità comunitarie;</w:t>
            </w:r>
          </w:p>
          <w:p w:rsidR="00FF5DD1" w:rsidRPr="00165777" w:rsidRDefault="00FF5DD1"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b) un bilancio del ruolo dei Fondi, della BEI e degli altri strumenti finanziari, nonché l'effetto delle altre politiche comunitarie e nazionali sui progressi compiuti.</w:t>
            </w:r>
          </w:p>
          <w:p w:rsidR="00FF5DD1" w:rsidRPr="00165777" w:rsidRDefault="00FF5DD1"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2. Se necessario, la relazione contiene inoltre:</w:t>
            </w:r>
          </w:p>
          <w:p w:rsidR="00FF5DD1" w:rsidRPr="00165777" w:rsidRDefault="00FF5DD1"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a) proposte di misure e politiche comunitarie che dovrebbero essere adottate per rafforzare la coesione economica e sociale;</w:t>
            </w:r>
          </w:p>
          <w:p w:rsidR="00F74204" w:rsidRDefault="00FF5DD1" w:rsidP="00283B85">
            <w:pPr>
              <w:autoSpaceDE w:val="0"/>
              <w:autoSpaceDN w:val="0"/>
              <w:adjustRightInd w:val="0"/>
              <w:jc w:val="both"/>
              <w:rPr>
                <w:rFonts w:eastAsiaTheme="minorHAnsi"/>
                <w:color w:val="000000"/>
                <w:sz w:val="20"/>
                <w:szCs w:val="20"/>
                <w:lang w:eastAsia="en-US"/>
              </w:rPr>
            </w:pPr>
            <w:r w:rsidRPr="00165777">
              <w:rPr>
                <w:rFonts w:eastAsiaTheme="minorHAnsi"/>
                <w:color w:val="000000"/>
                <w:sz w:val="20"/>
                <w:szCs w:val="20"/>
                <w:lang w:eastAsia="en-US"/>
              </w:rPr>
              <w:t>b) proposte di adeguamento degli orientamenti strategici comunitari per la coesione necessari per rispecchiare i cambiamenti della politica comunitaria.</w:t>
            </w:r>
          </w:p>
          <w:p w:rsidR="00165777" w:rsidRPr="00165777" w:rsidRDefault="00165777" w:rsidP="00283B85">
            <w:pPr>
              <w:autoSpaceDE w:val="0"/>
              <w:autoSpaceDN w:val="0"/>
              <w:adjustRightInd w:val="0"/>
              <w:jc w:val="both"/>
              <w:rPr>
                <w:rFonts w:eastAsiaTheme="minorHAnsi"/>
                <w:color w:val="000000"/>
                <w:sz w:val="20"/>
                <w:szCs w:val="20"/>
                <w:lang w:eastAsia="en-US"/>
              </w:rPr>
            </w:pPr>
          </w:p>
        </w:tc>
      </w:tr>
    </w:tbl>
    <w:p w:rsidR="00E7301A" w:rsidRPr="00165777" w:rsidRDefault="00E7301A" w:rsidP="00283B85">
      <w:pPr>
        <w:autoSpaceDE w:val="0"/>
        <w:autoSpaceDN w:val="0"/>
        <w:adjustRightInd w:val="0"/>
        <w:spacing w:before="60" w:after="60"/>
        <w:jc w:val="both"/>
        <w:rPr>
          <w:rFonts w:eastAsiaTheme="minorHAnsi"/>
          <w:color w:val="000000"/>
          <w:sz w:val="20"/>
          <w:szCs w:val="20"/>
          <w:lang w:eastAsia="en-US"/>
        </w:rPr>
      </w:pPr>
    </w:p>
    <w:p w:rsidR="00E270CB" w:rsidRPr="007549B0" w:rsidRDefault="00E270CB" w:rsidP="00283B85">
      <w:pPr>
        <w:autoSpaceDE w:val="0"/>
        <w:autoSpaceDN w:val="0"/>
        <w:adjustRightInd w:val="0"/>
        <w:spacing w:before="60" w:after="60"/>
        <w:jc w:val="both"/>
        <w:rPr>
          <w:rFonts w:eastAsiaTheme="minorHAnsi"/>
          <w:color w:val="000000"/>
          <w:sz w:val="19"/>
          <w:szCs w:val="19"/>
          <w:lang w:eastAsia="en-US"/>
        </w:rPr>
      </w:pPr>
    </w:p>
    <w:p w:rsidR="00E270CB" w:rsidRPr="007549B0" w:rsidRDefault="00E270CB" w:rsidP="00283B85">
      <w:pPr>
        <w:autoSpaceDE w:val="0"/>
        <w:autoSpaceDN w:val="0"/>
        <w:adjustRightInd w:val="0"/>
        <w:spacing w:before="60" w:after="60"/>
        <w:jc w:val="both"/>
        <w:rPr>
          <w:rFonts w:eastAsiaTheme="minorHAnsi"/>
          <w:color w:val="000000"/>
          <w:sz w:val="19"/>
          <w:szCs w:val="19"/>
          <w:lang w:eastAsia="en-US"/>
        </w:rPr>
      </w:pPr>
    </w:p>
    <w:p w:rsidR="00E270CB" w:rsidRPr="007549B0" w:rsidRDefault="00E270CB" w:rsidP="00283B85">
      <w:pPr>
        <w:autoSpaceDE w:val="0"/>
        <w:autoSpaceDN w:val="0"/>
        <w:adjustRightInd w:val="0"/>
        <w:spacing w:before="60" w:after="60"/>
        <w:jc w:val="both"/>
        <w:rPr>
          <w:rFonts w:eastAsiaTheme="minorHAnsi"/>
          <w:color w:val="000000"/>
          <w:sz w:val="19"/>
          <w:szCs w:val="19"/>
          <w:lang w:eastAsia="en-US"/>
        </w:rPr>
      </w:pPr>
    </w:p>
    <w:p w:rsidR="00E270CB" w:rsidRPr="007549B0" w:rsidRDefault="00E270CB" w:rsidP="00283B85">
      <w:pPr>
        <w:autoSpaceDE w:val="0"/>
        <w:autoSpaceDN w:val="0"/>
        <w:adjustRightInd w:val="0"/>
        <w:spacing w:before="60" w:after="60"/>
        <w:jc w:val="both"/>
        <w:rPr>
          <w:rFonts w:eastAsiaTheme="minorHAnsi"/>
          <w:color w:val="000000"/>
          <w:sz w:val="19"/>
          <w:szCs w:val="19"/>
          <w:lang w:eastAsia="en-US"/>
        </w:rPr>
      </w:pPr>
    </w:p>
    <w:p w:rsidR="00283B85" w:rsidRPr="007549B0" w:rsidRDefault="00283B85" w:rsidP="00283B85">
      <w:pPr>
        <w:autoSpaceDE w:val="0"/>
        <w:autoSpaceDN w:val="0"/>
        <w:adjustRightInd w:val="0"/>
        <w:spacing w:before="60" w:after="60"/>
        <w:jc w:val="both"/>
        <w:rPr>
          <w:rFonts w:eastAsiaTheme="minorHAnsi"/>
          <w:color w:val="000000"/>
          <w:sz w:val="19"/>
          <w:szCs w:val="19"/>
          <w:lang w:eastAsia="en-US"/>
        </w:rPr>
        <w:sectPr w:rsidR="00283B85" w:rsidRPr="007549B0" w:rsidSect="00283B85">
          <w:footerReference w:type="default" r:id="rId8"/>
          <w:pgSz w:w="16838" w:h="11906" w:orient="landscape"/>
          <w:pgMar w:top="1134" w:right="1417" w:bottom="1134" w:left="1134" w:header="708" w:footer="708" w:gutter="0"/>
          <w:cols w:space="708"/>
          <w:docGrid w:linePitch="360"/>
        </w:sectPr>
      </w:pPr>
    </w:p>
    <w:p w:rsidR="007549B0" w:rsidRPr="007549B0" w:rsidRDefault="007549B0" w:rsidP="007549B0">
      <w:pPr>
        <w:jc w:val="center"/>
        <w:rPr>
          <w:b/>
          <w:sz w:val="22"/>
          <w:szCs w:val="22"/>
        </w:rPr>
      </w:pPr>
      <w:r w:rsidRPr="007549B0">
        <w:rPr>
          <w:b/>
          <w:sz w:val="22"/>
          <w:szCs w:val="22"/>
        </w:rPr>
        <w:lastRenderedPageBreak/>
        <w:t xml:space="preserve">PRIME RIFLESSIONI </w:t>
      </w:r>
    </w:p>
    <w:p w:rsidR="007549B0" w:rsidRDefault="007549B0" w:rsidP="00283B85">
      <w:pPr>
        <w:jc w:val="both"/>
        <w:rPr>
          <w:i/>
          <w:sz w:val="22"/>
          <w:szCs w:val="22"/>
        </w:rPr>
      </w:pPr>
    </w:p>
    <w:p w:rsidR="00E270CB" w:rsidRPr="004E1567" w:rsidRDefault="004E1567" w:rsidP="0040436D">
      <w:pPr>
        <w:jc w:val="center"/>
        <w:rPr>
          <w:b/>
          <w:i/>
          <w:sz w:val="22"/>
          <w:szCs w:val="22"/>
        </w:rPr>
      </w:pPr>
      <w:r w:rsidRPr="004E1567">
        <w:rPr>
          <w:b/>
          <w:i/>
          <w:sz w:val="22"/>
          <w:szCs w:val="22"/>
        </w:rPr>
        <w:t>Accordo di Partenariato</w:t>
      </w:r>
    </w:p>
    <w:p w:rsidR="004E1567" w:rsidRDefault="004E1567" w:rsidP="0040436D">
      <w:pPr>
        <w:jc w:val="center"/>
        <w:rPr>
          <w:i/>
          <w:sz w:val="22"/>
          <w:szCs w:val="22"/>
        </w:rPr>
      </w:pPr>
    </w:p>
    <w:p w:rsidR="004E1567" w:rsidRPr="007549B0" w:rsidRDefault="004E1567" w:rsidP="0040436D">
      <w:pPr>
        <w:jc w:val="center"/>
        <w:rPr>
          <w:i/>
          <w:sz w:val="22"/>
          <w:szCs w:val="22"/>
        </w:rPr>
      </w:pPr>
      <w:r>
        <w:rPr>
          <w:i/>
          <w:sz w:val="22"/>
          <w:szCs w:val="22"/>
        </w:rPr>
        <w:t>Articoli 14, 15, 16, 23, 52, 53, 96, 113 Regolamento Disposizioni Comuni</w:t>
      </w:r>
      <w:r w:rsidR="00F0501B">
        <w:rPr>
          <w:i/>
          <w:sz w:val="22"/>
          <w:szCs w:val="22"/>
        </w:rPr>
        <w:t xml:space="preserve"> (RDP)</w:t>
      </w:r>
    </w:p>
    <w:p w:rsidR="00BC70CE" w:rsidRPr="007549B0" w:rsidRDefault="00BC70CE" w:rsidP="00283B85">
      <w:pPr>
        <w:autoSpaceDE w:val="0"/>
        <w:autoSpaceDN w:val="0"/>
        <w:adjustRightInd w:val="0"/>
        <w:spacing w:before="60" w:after="60"/>
        <w:jc w:val="both"/>
        <w:rPr>
          <w:sz w:val="22"/>
          <w:szCs w:val="22"/>
        </w:rPr>
      </w:pPr>
    </w:p>
    <w:p w:rsidR="00BC70CE" w:rsidRPr="004502EA" w:rsidRDefault="00BC70CE" w:rsidP="004E1567">
      <w:pPr>
        <w:autoSpaceDE w:val="0"/>
        <w:autoSpaceDN w:val="0"/>
        <w:adjustRightInd w:val="0"/>
        <w:spacing w:before="60" w:after="60"/>
        <w:jc w:val="both"/>
        <w:rPr>
          <w:b/>
          <w:sz w:val="22"/>
          <w:szCs w:val="22"/>
        </w:rPr>
      </w:pPr>
    </w:p>
    <w:p w:rsidR="00DD0CE3" w:rsidRPr="0073094C" w:rsidRDefault="00DD0CE3" w:rsidP="00F63C92">
      <w:pPr>
        <w:autoSpaceDE w:val="0"/>
        <w:autoSpaceDN w:val="0"/>
        <w:adjustRightInd w:val="0"/>
        <w:jc w:val="both"/>
        <w:rPr>
          <w:rFonts w:eastAsiaTheme="minorHAnsi"/>
          <w:color w:val="000000"/>
          <w:sz w:val="22"/>
          <w:szCs w:val="22"/>
          <w:lang w:eastAsia="en-US"/>
        </w:rPr>
      </w:pPr>
      <w:r w:rsidRPr="004502EA">
        <w:rPr>
          <w:b/>
          <w:sz w:val="22"/>
          <w:szCs w:val="22"/>
        </w:rPr>
        <w:t>Nell’attuale programmazione</w:t>
      </w:r>
      <w:r w:rsidRPr="0073094C">
        <w:rPr>
          <w:sz w:val="22"/>
          <w:szCs w:val="22"/>
        </w:rPr>
        <w:t xml:space="preserve"> gli Orientamenti Strategici Comunitari per la Coesione (OSCC), adottati dal Consiglio del 6 ottobre 2006 (2006/702/CE), hanno definito </w:t>
      </w:r>
      <w:r w:rsidRPr="0073094C">
        <w:rPr>
          <w:i/>
          <w:sz w:val="22"/>
          <w:szCs w:val="22"/>
        </w:rPr>
        <w:t>un contesto indicativo</w:t>
      </w:r>
      <w:r w:rsidRPr="0073094C">
        <w:rPr>
          <w:sz w:val="22"/>
          <w:szCs w:val="22"/>
        </w:rPr>
        <w:t xml:space="preserve"> per i paesi beneficiari per l’elaborazione dei quadri strategici nazionali </w:t>
      </w:r>
      <w:r w:rsidR="004502EA">
        <w:rPr>
          <w:sz w:val="22"/>
          <w:szCs w:val="22"/>
        </w:rPr>
        <w:t xml:space="preserve">e </w:t>
      </w:r>
      <w:r w:rsidRPr="0073094C">
        <w:rPr>
          <w:sz w:val="22"/>
          <w:szCs w:val="22"/>
        </w:rPr>
        <w:t xml:space="preserve">dei programmi operativi per il periodo 2007-2013 e il </w:t>
      </w:r>
      <w:r w:rsidRPr="00190B9C">
        <w:rPr>
          <w:b/>
          <w:sz w:val="22"/>
          <w:szCs w:val="22"/>
        </w:rPr>
        <w:t xml:space="preserve">QSN </w:t>
      </w:r>
      <w:r w:rsidRPr="00D84DDC">
        <w:rPr>
          <w:sz w:val="22"/>
          <w:szCs w:val="22"/>
        </w:rPr>
        <w:t>si è configurato come</w:t>
      </w:r>
      <w:r w:rsidRPr="00190B9C">
        <w:rPr>
          <w:b/>
          <w:sz w:val="22"/>
          <w:szCs w:val="22"/>
        </w:rPr>
        <w:t xml:space="preserve"> strumento </w:t>
      </w:r>
      <w:r w:rsidRPr="00D84DDC">
        <w:rPr>
          <w:sz w:val="22"/>
          <w:szCs w:val="22"/>
        </w:rPr>
        <w:t>per preparare la programmazione dei fondi</w:t>
      </w:r>
      <w:r w:rsidRPr="0073094C">
        <w:rPr>
          <w:sz w:val="22"/>
          <w:szCs w:val="22"/>
        </w:rPr>
        <w:t xml:space="preserve"> (Cfr. art. 27 del Reg. (CE) 1083/2006), rispetto al quale </w:t>
      </w:r>
      <w:r w:rsidRPr="00190B9C">
        <w:rPr>
          <w:b/>
          <w:sz w:val="22"/>
          <w:szCs w:val="22"/>
        </w:rPr>
        <w:t xml:space="preserve">la Commissione </w:t>
      </w:r>
      <w:r w:rsidR="004502EA">
        <w:rPr>
          <w:b/>
          <w:sz w:val="22"/>
          <w:szCs w:val="22"/>
        </w:rPr>
        <w:t>ha preso</w:t>
      </w:r>
      <w:r w:rsidRPr="00190B9C">
        <w:rPr>
          <w:b/>
          <w:sz w:val="22"/>
          <w:szCs w:val="22"/>
        </w:rPr>
        <w:t xml:space="preserve"> atto </w:t>
      </w:r>
      <w:r w:rsidRPr="00D84DDC">
        <w:rPr>
          <w:sz w:val="22"/>
          <w:szCs w:val="22"/>
        </w:rPr>
        <w:t>della strategia nazionale e dei temi prioritari prescelti, formulando osservazioni</w:t>
      </w:r>
      <w:r w:rsidRPr="0073094C">
        <w:rPr>
          <w:sz w:val="22"/>
          <w:szCs w:val="22"/>
        </w:rPr>
        <w:t xml:space="preserve"> (Cfr. art. 28 del Reg. (CE) 1083/2006) e </w:t>
      </w:r>
      <w:r w:rsidRPr="00190B9C">
        <w:rPr>
          <w:b/>
          <w:sz w:val="22"/>
          <w:szCs w:val="22"/>
        </w:rPr>
        <w:t>adottando decisioni su pochissimi elementi</w:t>
      </w:r>
      <w:r>
        <w:rPr>
          <w:sz w:val="22"/>
          <w:szCs w:val="22"/>
        </w:rPr>
        <w:t xml:space="preserve">: </w:t>
      </w:r>
      <w:r w:rsidRPr="0073094C">
        <w:rPr>
          <w:sz w:val="22"/>
          <w:szCs w:val="22"/>
        </w:rPr>
        <w:t xml:space="preserve">un elenco dei </w:t>
      </w:r>
      <w:r w:rsidRPr="0073094C">
        <w:rPr>
          <w:rFonts w:eastAsiaTheme="minorHAnsi"/>
          <w:color w:val="000000"/>
          <w:sz w:val="22"/>
          <w:szCs w:val="22"/>
          <w:lang w:eastAsia="en-US"/>
        </w:rPr>
        <w:t>programmi operativi per gli obiettivi «Convergenza» e «Competitivi</w:t>
      </w:r>
      <w:r w:rsidR="00447F19">
        <w:rPr>
          <w:rFonts w:eastAsiaTheme="minorHAnsi"/>
          <w:color w:val="000000"/>
          <w:sz w:val="22"/>
          <w:szCs w:val="22"/>
          <w:lang w:eastAsia="en-US"/>
        </w:rPr>
        <w:t xml:space="preserve">tà regionale e occupazione», </w:t>
      </w:r>
      <w:r w:rsidRPr="0073094C">
        <w:rPr>
          <w:rFonts w:eastAsiaTheme="minorHAnsi"/>
          <w:color w:val="000000"/>
          <w:sz w:val="22"/>
          <w:szCs w:val="22"/>
          <w:lang w:eastAsia="en-US"/>
        </w:rPr>
        <w:t xml:space="preserve">la dotazione annuale indicativa di ciascun Fondo per programma e per il solo obiettivo «Convergenza», il livello di spesa che garantisse il rispetto del principio di </w:t>
      </w:r>
      <w:proofErr w:type="spellStart"/>
      <w:r w:rsidRPr="0073094C">
        <w:rPr>
          <w:rFonts w:eastAsiaTheme="minorHAnsi"/>
          <w:color w:val="000000"/>
          <w:sz w:val="22"/>
          <w:szCs w:val="22"/>
          <w:lang w:eastAsia="en-US"/>
        </w:rPr>
        <w:t>addizionalità</w:t>
      </w:r>
      <w:proofErr w:type="spellEnd"/>
      <w:r w:rsidRPr="0073094C">
        <w:rPr>
          <w:rFonts w:eastAsiaTheme="minorHAnsi"/>
          <w:color w:val="000000"/>
          <w:sz w:val="22"/>
          <w:szCs w:val="22"/>
          <w:lang w:eastAsia="en-US"/>
        </w:rPr>
        <w:t xml:space="preserve"> e l'azione prevista per rafforzare l'efficienza amministrativa.</w:t>
      </w:r>
    </w:p>
    <w:p w:rsidR="00DD0CE3" w:rsidRPr="004502EA" w:rsidRDefault="002F2808" w:rsidP="00F63C92">
      <w:pPr>
        <w:autoSpaceDE w:val="0"/>
        <w:autoSpaceDN w:val="0"/>
        <w:adjustRightInd w:val="0"/>
        <w:spacing w:before="60" w:after="60"/>
        <w:jc w:val="both"/>
        <w:rPr>
          <w:i/>
          <w:sz w:val="22"/>
          <w:szCs w:val="22"/>
        </w:rPr>
      </w:pPr>
      <w:r w:rsidRPr="004502EA">
        <w:rPr>
          <w:b/>
          <w:sz w:val="22"/>
          <w:szCs w:val="22"/>
        </w:rPr>
        <w:t>Nella nuova programmazione</w:t>
      </w:r>
      <w:r w:rsidR="006B441C" w:rsidRPr="004502EA">
        <w:rPr>
          <w:b/>
          <w:sz w:val="22"/>
          <w:szCs w:val="22"/>
        </w:rPr>
        <w:t>,</w:t>
      </w:r>
      <w:r w:rsidR="006B441C">
        <w:rPr>
          <w:sz w:val="22"/>
          <w:szCs w:val="22"/>
        </w:rPr>
        <w:t xml:space="preserve"> invece,</w:t>
      </w:r>
      <w:r w:rsidR="00BF47AB">
        <w:rPr>
          <w:sz w:val="22"/>
          <w:szCs w:val="22"/>
        </w:rPr>
        <w:t xml:space="preserve"> </w:t>
      </w:r>
      <w:r w:rsidR="004502EA">
        <w:rPr>
          <w:sz w:val="22"/>
          <w:szCs w:val="22"/>
        </w:rPr>
        <w:t>l</w:t>
      </w:r>
      <w:r w:rsidR="004502EA" w:rsidRPr="004E1567">
        <w:rPr>
          <w:b/>
          <w:sz w:val="22"/>
          <w:szCs w:val="22"/>
        </w:rPr>
        <w:t>’Accordo di Partenariato</w:t>
      </w:r>
      <w:r w:rsidR="004502EA">
        <w:rPr>
          <w:b/>
          <w:sz w:val="22"/>
          <w:szCs w:val="22"/>
        </w:rPr>
        <w:t xml:space="preserve"> </w:t>
      </w:r>
      <w:r w:rsidR="004502EA">
        <w:rPr>
          <w:sz w:val="22"/>
          <w:szCs w:val="22"/>
        </w:rPr>
        <w:t xml:space="preserve">è uno </w:t>
      </w:r>
      <w:r w:rsidR="004502EA" w:rsidRPr="002D7E7F">
        <w:rPr>
          <w:b/>
          <w:sz w:val="22"/>
          <w:szCs w:val="22"/>
        </w:rPr>
        <w:t>strumento più cogente</w:t>
      </w:r>
      <w:r w:rsidR="004502EA" w:rsidRPr="004E1567">
        <w:rPr>
          <w:sz w:val="22"/>
          <w:szCs w:val="22"/>
        </w:rPr>
        <w:t xml:space="preserve"> per preparare i PO</w:t>
      </w:r>
      <w:r w:rsidR="004502EA">
        <w:rPr>
          <w:sz w:val="22"/>
          <w:szCs w:val="22"/>
        </w:rPr>
        <w:t xml:space="preserve">, </w:t>
      </w:r>
      <w:r w:rsidR="004502EA" w:rsidRPr="002D7E7F">
        <w:rPr>
          <w:sz w:val="22"/>
          <w:szCs w:val="22"/>
        </w:rPr>
        <w:t xml:space="preserve">un risultato negoziale </w:t>
      </w:r>
      <w:r w:rsidR="004502EA" w:rsidRPr="007549B0">
        <w:rPr>
          <w:sz w:val="22"/>
          <w:szCs w:val="22"/>
        </w:rPr>
        <w:t xml:space="preserve">rispetto al quale </w:t>
      </w:r>
      <w:r w:rsidR="004502EA" w:rsidRPr="004E1567">
        <w:rPr>
          <w:b/>
          <w:sz w:val="22"/>
          <w:szCs w:val="22"/>
        </w:rPr>
        <w:t xml:space="preserve">la Commissione </w:t>
      </w:r>
      <w:r w:rsidR="004502EA" w:rsidRPr="00D84DDC">
        <w:rPr>
          <w:sz w:val="22"/>
          <w:szCs w:val="22"/>
        </w:rPr>
        <w:t>non si limita a prenderne atto</w:t>
      </w:r>
      <w:r w:rsidR="004502EA" w:rsidRPr="002D7E7F">
        <w:rPr>
          <w:sz w:val="22"/>
          <w:szCs w:val="22"/>
        </w:rPr>
        <w:t xml:space="preserve"> ma </w:t>
      </w:r>
      <w:r w:rsidR="004502EA" w:rsidRPr="00D84DDC">
        <w:rPr>
          <w:b/>
          <w:sz w:val="22"/>
          <w:szCs w:val="22"/>
        </w:rPr>
        <w:t>ne valuta la coerenza</w:t>
      </w:r>
      <w:r w:rsidR="004502EA" w:rsidRPr="002D7E7F">
        <w:rPr>
          <w:sz w:val="22"/>
          <w:szCs w:val="22"/>
        </w:rPr>
        <w:t xml:space="preserve"> con il Regolamento e adotta una decisione, </w:t>
      </w:r>
      <w:r w:rsidR="004502EA" w:rsidRPr="002D7E7F">
        <w:rPr>
          <w:rFonts w:eastAsiaTheme="minorHAnsi"/>
          <w:color w:val="000000"/>
          <w:sz w:val="22"/>
          <w:szCs w:val="22"/>
          <w:lang w:eastAsia="en-US"/>
        </w:rPr>
        <w:t xml:space="preserve">con la quale </w:t>
      </w:r>
      <w:r w:rsidR="004502EA" w:rsidRPr="002D7E7F">
        <w:rPr>
          <w:rFonts w:eastAsiaTheme="minorHAnsi"/>
          <w:b/>
          <w:color w:val="000000"/>
          <w:sz w:val="22"/>
          <w:szCs w:val="22"/>
          <w:lang w:eastAsia="en-US"/>
        </w:rPr>
        <w:t>approva gli elementi dell'accordo di partenariato</w:t>
      </w:r>
      <w:r w:rsidR="004502EA" w:rsidRPr="002D7E7F">
        <w:rPr>
          <w:rFonts w:eastAsiaTheme="minorHAnsi"/>
          <w:color w:val="000000"/>
          <w:sz w:val="22"/>
          <w:szCs w:val="22"/>
          <w:lang w:eastAsia="en-US"/>
        </w:rPr>
        <w:t xml:space="preserve"> </w:t>
      </w:r>
      <w:r w:rsidR="004502EA" w:rsidRPr="002D7E7F">
        <w:rPr>
          <w:sz w:val="22"/>
          <w:szCs w:val="22"/>
        </w:rPr>
        <w:t>(Cfr. artt. 14, 15, 16 e 17 del Reg. (UE) 1303/201</w:t>
      </w:r>
      <w:r w:rsidR="004502EA">
        <w:rPr>
          <w:sz w:val="22"/>
          <w:szCs w:val="22"/>
        </w:rPr>
        <w:t>3</w:t>
      </w:r>
      <w:r w:rsidR="004502EA" w:rsidRPr="002D7E7F">
        <w:rPr>
          <w:sz w:val="22"/>
          <w:szCs w:val="22"/>
        </w:rPr>
        <w:t>)</w:t>
      </w:r>
      <w:r w:rsidR="00CE675D" w:rsidRPr="007549B0">
        <w:rPr>
          <w:sz w:val="22"/>
          <w:szCs w:val="22"/>
        </w:rPr>
        <w:t xml:space="preserve">. </w:t>
      </w:r>
      <w:r w:rsidR="00DD0CE3">
        <w:rPr>
          <w:i/>
          <w:sz w:val="22"/>
          <w:szCs w:val="22"/>
        </w:rPr>
        <w:t xml:space="preserve"> </w:t>
      </w:r>
      <w:r w:rsidRPr="002D7E7F">
        <w:rPr>
          <w:sz w:val="22"/>
          <w:szCs w:val="22"/>
        </w:rPr>
        <w:t xml:space="preserve"> </w:t>
      </w:r>
    </w:p>
    <w:p w:rsidR="00423065" w:rsidRPr="00DD0CE3" w:rsidRDefault="004502EA" w:rsidP="00F63C92">
      <w:pPr>
        <w:autoSpaceDE w:val="0"/>
        <w:autoSpaceDN w:val="0"/>
        <w:adjustRightInd w:val="0"/>
        <w:spacing w:before="60" w:after="60"/>
        <w:jc w:val="both"/>
        <w:rPr>
          <w:sz w:val="22"/>
          <w:szCs w:val="22"/>
        </w:rPr>
      </w:pPr>
      <w:r>
        <w:rPr>
          <w:sz w:val="22"/>
          <w:szCs w:val="22"/>
        </w:rPr>
        <w:t>D’altro canto, n</w:t>
      </w:r>
      <w:r w:rsidR="00DD0CE3" w:rsidRPr="007549B0">
        <w:rPr>
          <w:sz w:val="22"/>
          <w:szCs w:val="22"/>
        </w:rPr>
        <w:t>ella nuova programmazione</w:t>
      </w:r>
      <w:r w:rsidR="00DD0CE3">
        <w:rPr>
          <w:sz w:val="22"/>
          <w:szCs w:val="22"/>
        </w:rPr>
        <w:t>,</w:t>
      </w:r>
      <w:r w:rsidR="00DD0CE3" w:rsidRPr="007549B0">
        <w:rPr>
          <w:sz w:val="22"/>
          <w:szCs w:val="22"/>
        </w:rPr>
        <w:t xml:space="preserve"> </w:t>
      </w:r>
      <w:r>
        <w:rPr>
          <w:sz w:val="22"/>
          <w:szCs w:val="22"/>
        </w:rPr>
        <w:t xml:space="preserve">nei PO </w:t>
      </w:r>
      <w:r w:rsidR="00DD0CE3" w:rsidRPr="00DD0CE3">
        <w:rPr>
          <w:sz w:val="22"/>
          <w:szCs w:val="22"/>
        </w:rPr>
        <w:t xml:space="preserve">la motivazione della scelta degli </w:t>
      </w:r>
      <w:r w:rsidR="00DD0CE3" w:rsidRPr="00DD0CE3">
        <w:rPr>
          <w:i/>
          <w:sz w:val="22"/>
          <w:szCs w:val="22"/>
        </w:rPr>
        <w:t>obiettivi tematici</w:t>
      </w:r>
      <w:r w:rsidR="00DD0CE3" w:rsidRPr="00DD0CE3">
        <w:rPr>
          <w:sz w:val="22"/>
          <w:szCs w:val="22"/>
        </w:rPr>
        <w:t xml:space="preserve">, delle corrispondenti </w:t>
      </w:r>
      <w:r w:rsidR="00DD0CE3" w:rsidRPr="00DD0CE3">
        <w:rPr>
          <w:i/>
          <w:sz w:val="22"/>
          <w:szCs w:val="22"/>
        </w:rPr>
        <w:t>priorità d'investimento</w:t>
      </w:r>
      <w:r w:rsidR="00DD0CE3" w:rsidRPr="00DD0CE3">
        <w:rPr>
          <w:sz w:val="22"/>
          <w:szCs w:val="22"/>
        </w:rPr>
        <w:t xml:space="preserve"> e delle </w:t>
      </w:r>
      <w:r w:rsidR="00DD0CE3" w:rsidRPr="00DD0CE3">
        <w:rPr>
          <w:i/>
          <w:sz w:val="22"/>
          <w:szCs w:val="22"/>
        </w:rPr>
        <w:t>dotazioni finanziarie</w:t>
      </w:r>
      <w:r w:rsidR="00DD0CE3" w:rsidRPr="00DD0CE3">
        <w:rPr>
          <w:sz w:val="22"/>
          <w:szCs w:val="22"/>
        </w:rPr>
        <w:t xml:space="preserve"> deve tener conto dell’Accordo di Partenariato. Entrambi, </w:t>
      </w:r>
      <w:r w:rsidR="00DD0CE3" w:rsidRPr="004502EA">
        <w:rPr>
          <w:b/>
          <w:sz w:val="22"/>
          <w:szCs w:val="22"/>
        </w:rPr>
        <w:t>Accordo di Partenariato e PO</w:t>
      </w:r>
      <w:r w:rsidR="00DD0CE3" w:rsidRPr="00DD0CE3">
        <w:rPr>
          <w:sz w:val="22"/>
          <w:szCs w:val="22"/>
        </w:rPr>
        <w:t xml:space="preserve">, sono documenti, dove ben </w:t>
      </w:r>
      <w:r w:rsidR="00A04F66">
        <w:rPr>
          <w:sz w:val="22"/>
          <w:szCs w:val="22"/>
        </w:rPr>
        <w:t xml:space="preserve">più complessi e articolati </w:t>
      </w:r>
      <w:r w:rsidR="00DD0CE3" w:rsidRPr="00DD0CE3">
        <w:rPr>
          <w:sz w:val="22"/>
          <w:szCs w:val="22"/>
        </w:rPr>
        <w:t xml:space="preserve">dovranno essere gli </w:t>
      </w:r>
      <w:r w:rsidR="00DD0CE3" w:rsidRPr="004502EA">
        <w:rPr>
          <w:b/>
          <w:sz w:val="22"/>
          <w:szCs w:val="22"/>
        </w:rPr>
        <w:t>elementi di coerenza</w:t>
      </w:r>
      <w:r w:rsidR="00DD0CE3" w:rsidRPr="00DD0CE3">
        <w:rPr>
          <w:sz w:val="22"/>
          <w:szCs w:val="22"/>
        </w:rPr>
        <w:t xml:space="preserve"> e i contenuti che sar</w:t>
      </w:r>
      <w:r>
        <w:rPr>
          <w:sz w:val="22"/>
          <w:szCs w:val="22"/>
        </w:rPr>
        <w:t>anno valutati dalla Commissione.</w:t>
      </w:r>
    </w:p>
    <w:p w:rsidR="008B31D1" w:rsidRPr="007549B0" w:rsidRDefault="008B31D1" w:rsidP="00283B85">
      <w:pPr>
        <w:autoSpaceDE w:val="0"/>
        <w:autoSpaceDN w:val="0"/>
        <w:adjustRightInd w:val="0"/>
        <w:spacing w:before="60" w:after="60"/>
        <w:jc w:val="both"/>
        <w:rPr>
          <w:sz w:val="22"/>
          <w:szCs w:val="22"/>
        </w:rPr>
      </w:pPr>
    </w:p>
    <w:p w:rsidR="00462B90" w:rsidRDefault="00462B90" w:rsidP="00283B85">
      <w:pPr>
        <w:autoSpaceDE w:val="0"/>
        <w:autoSpaceDN w:val="0"/>
        <w:adjustRightInd w:val="0"/>
        <w:spacing w:before="60" w:after="60"/>
        <w:jc w:val="both"/>
        <w:rPr>
          <w:b/>
          <w:sz w:val="22"/>
          <w:szCs w:val="22"/>
        </w:rPr>
      </w:pPr>
      <w:r w:rsidRPr="00DE0C90">
        <w:rPr>
          <w:b/>
          <w:sz w:val="22"/>
          <w:szCs w:val="22"/>
        </w:rPr>
        <w:t>Preparazione</w:t>
      </w:r>
    </w:p>
    <w:p w:rsidR="00F63C92" w:rsidRDefault="00F63C92" w:rsidP="00283B85">
      <w:pPr>
        <w:autoSpaceDE w:val="0"/>
        <w:autoSpaceDN w:val="0"/>
        <w:adjustRightInd w:val="0"/>
        <w:spacing w:before="60" w:after="60"/>
        <w:jc w:val="both"/>
        <w:rPr>
          <w:b/>
          <w:sz w:val="22"/>
          <w:szCs w:val="22"/>
        </w:rPr>
      </w:pPr>
    </w:p>
    <w:p w:rsidR="008B31D1" w:rsidRPr="007549B0" w:rsidRDefault="008B31D1" w:rsidP="00F63C92">
      <w:pPr>
        <w:autoSpaceDE w:val="0"/>
        <w:autoSpaceDN w:val="0"/>
        <w:adjustRightInd w:val="0"/>
        <w:spacing w:before="60" w:after="60"/>
        <w:jc w:val="both"/>
        <w:rPr>
          <w:sz w:val="22"/>
          <w:szCs w:val="22"/>
        </w:rPr>
      </w:pPr>
      <w:r w:rsidRPr="007549B0">
        <w:rPr>
          <w:sz w:val="22"/>
          <w:szCs w:val="22"/>
        </w:rPr>
        <w:t xml:space="preserve">Nella </w:t>
      </w:r>
      <w:r w:rsidRPr="000960D7">
        <w:rPr>
          <w:sz w:val="22"/>
          <w:szCs w:val="22"/>
        </w:rPr>
        <w:t xml:space="preserve">fase di preparazione la differenza tra </w:t>
      </w:r>
      <w:proofErr w:type="spellStart"/>
      <w:r w:rsidRPr="000960D7">
        <w:rPr>
          <w:sz w:val="22"/>
          <w:szCs w:val="22"/>
        </w:rPr>
        <w:t>AdP</w:t>
      </w:r>
      <w:proofErr w:type="spellEnd"/>
      <w:r w:rsidRPr="000960D7">
        <w:rPr>
          <w:sz w:val="22"/>
          <w:szCs w:val="22"/>
        </w:rPr>
        <w:t xml:space="preserve"> e QSN, si sostanzia nel fatto che quest’ultimo è stato preparato dallo Stato membro</w:t>
      </w:r>
      <w:r w:rsidRPr="007549B0">
        <w:rPr>
          <w:sz w:val="22"/>
          <w:szCs w:val="22"/>
        </w:rPr>
        <w:t xml:space="preserve"> </w:t>
      </w:r>
      <w:r w:rsidRPr="009D0589">
        <w:rPr>
          <w:b/>
          <w:sz w:val="22"/>
          <w:szCs w:val="22"/>
        </w:rPr>
        <w:t>mediante la procedura che ha considerato più appropriata</w:t>
      </w:r>
      <w:r w:rsidRPr="007549B0">
        <w:rPr>
          <w:sz w:val="22"/>
          <w:szCs w:val="22"/>
        </w:rPr>
        <w:t xml:space="preserve"> mentre l’</w:t>
      </w:r>
      <w:proofErr w:type="spellStart"/>
      <w:r w:rsidRPr="007549B0">
        <w:rPr>
          <w:sz w:val="22"/>
          <w:szCs w:val="22"/>
        </w:rPr>
        <w:t>AdP</w:t>
      </w:r>
      <w:proofErr w:type="spellEnd"/>
      <w:r w:rsidRPr="007549B0">
        <w:rPr>
          <w:sz w:val="22"/>
          <w:szCs w:val="22"/>
        </w:rPr>
        <w:t xml:space="preserve"> è preparato </w:t>
      </w:r>
      <w:r w:rsidRPr="009D0589">
        <w:rPr>
          <w:b/>
          <w:sz w:val="22"/>
          <w:szCs w:val="22"/>
        </w:rPr>
        <w:t>sulla base di procedure trasparenti per il pubblico</w:t>
      </w:r>
      <w:r w:rsidR="004502EA">
        <w:rPr>
          <w:b/>
          <w:sz w:val="22"/>
          <w:szCs w:val="22"/>
        </w:rPr>
        <w:t>.</w:t>
      </w:r>
      <w:r w:rsidRPr="007549B0">
        <w:rPr>
          <w:sz w:val="22"/>
          <w:szCs w:val="22"/>
        </w:rPr>
        <w:t xml:space="preserve"> </w:t>
      </w:r>
    </w:p>
    <w:p w:rsidR="008B31D1" w:rsidRPr="007549B0" w:rsidRDefault="008B31D1" w:rsidP="00283B85">
      <w:pPr>
        <w:jc w:val="both"/>
        <w:rPr>
          <w:sz w:val="22"/>
          <w:szCs w:val="22"/>
        </w:rPr>
      </w:pPr>
    </w:p>
    <w:p w:rsidR="00462B90" w:rsidRDefault="00462B90" w:rsidP="00AC0004">
      <w:pPr>
        <w:autoSpaceDE w:val="0"/>
        <w:autoSpaceDN w:val="0"/>
        <w:adjustRightInd w:val="0"/>
        <w:spacing w:before="60" w:after="60"/>
        <w:jc w:val="both"/>
        <w:rPr>
          <w:b/>
          <w:sz w:val="22"/>
          <w:szCs w:val="22"/>
        </w:rPr>
      </w:pPr>
      <w:r w:rsidRPr="00DE0C90">
        <w:rPr>
          <w:b/>
          <w:sz w:val="22"/>
          <w:szCs w:val="22"/>
        </w:rPr>
        <w:t>Adozione</w:t>
      </w:r>
      <w:r w:rsidR="00AC0004">
        <w:rPr>
          <w:b/>
          <w:sz w:val="22"/>
          <w:szCs w:val="22"/>
        </w:rPr>
        <w:t xml:space="preserve">/ </w:t>
      </w:r>
      <w:r w:rsidR="00AC0004" w:rsidRPr="00A811AC">
        <w:rPr>
          <w:rFonts w:eastAsiaTheme="minorHAnsi"/>
          <w:b/>
          <w:sz w:val="22"/>
          <w:szCs w:val="22"/>
          <w:lang w:eastAsia="en-US"/>
        </w:rPr>
        <w:t>Tempistica</w:t>
      </w:r>
    </w:p>
    <w:p w:rsidR="00F63C92" w:rsidRDefault="00F63C92" w:rsidP="00F63C92">
      <w:pPr>
        <w:jc w:val="both"/>
        <w:rPr>
          <w:b/>
          <w:sz w:val="22"/>
          <w:szCs w:val="22"/>
        </w:rPr>
      </w:pPr>
    </w:p>
    <w:p w:rsidR="006B441C" w:rsidRPr="007549B0" w:rsidRDefault="006B441C" w:rsidP="00F63C92">
      <w:pPr>
        <w:jc w:val="both"/>
        <w:rPr>
          <w:sz w:val="22"/>
          <w:szCs w:val="22"/>
        </w:rPr>
      </w:pPr>
      <w:r w:rsidRPr="007549B0">
        <w:rPr>
          <w:sz w:val="22"/>
          <w:szCs w:val="22"/>
        </w:rPr>
        <w:t xml:space="preserve">Nella </w:t>
      </w:r>
      <w:r w:rsidR="00AC0004">
        <w:rPr>
          <w:sz w:val="22"/>
          <w:szCs w:val="22"/>
        </w:rPr>
        <w:t>procedura</w:t>
      </w:r>
      <w:r w:rsidRPr="000960D7">
        <w:rPr>
          <w:sz w:val="22"/>
          <w:szCs w:val="22"/>
        </w:rPr>
        <w:t xml:space="preserve"> di adozione</w:t>
      </w:r>
      <w:r w:rsidRPr="007549B0">
        <w:rPr>
          <w:sz w:val="22"/>
          <w:szCs w:val="22"/>
        </w:rPr>
        <w:t xml:space="preserve"> la differenza tra </w:t>
      </w:r>
      <w:proofErr w:type="spellStart"/>
      <w:r w:rsidRPr="007549B0">
        <w:rPr>
          <w:sz w:val="22"/>
          <w:szCs w:val="22"/>
        </w:rPr>
        <w:t>AdP</w:t>
      </w:r>
      <w:proofErr w:type="spellEnd"/>
      <w:r w:rsidRPr="007549B0">
        <w:rPr>
          <w:sz w:val="22"/>
          <w:szCs w:val="22"/>
        </w:rPr>
        <w:t xml:space="preserve"> e QSN, si sostanzia nel fatto che di quest’ultimo l</w:t>
      </w:r>
      <w:r w:rsidRPr="007549B0">
        <w:rPr>
          <w:rFonts w:eastAsiaTheme="minorHAnsi"/>
          <w:color w:val="000000"/>
          <w:sz w:val="22"/>
          <w:szCs w:val="22"/>
          <w:lang w:eastAsia="en-US"/>
        </w:rPr>
        <w:t xml:space="preserve">a Commissione </w:t>
      </w:r>
      <w:r w:rsidRPr="007549B0">
        <w:rPr>
          <w:rFonts w:eastAsiaTheme="minorHAnsi"/>
          <w:i/>
          <w:color w:val="000000"/>
          <w:sz w:val="22"/>
          <w:szCs w:val="22"/>
          <w:lang w:eastAsia="en-US"/>
        </w:rPr>
        <w:t>prende atto</w:t>
      </w:r>
      <w:r w:rsidRPr="007549B0">
        <w:rPr>
          <w:rFonts w:eastAsiaTheme="minorHAnsi"/>
          <w:color w:val="000000"/>
          <w:sz w:val="22"/>
          <w:szCs w:val="22"/>
          <w:lang w:eastAsia="en-US"/>
        </w:rPr>
        <w:t xml:space="preserve"> </w:t>
      </w:r>
      <w:r w:rsidRPr="007549B0">
        <w:rPr>
          <w:sz w:val="22"/>
          <w:szCs w:val="22"/>
        </w:rPr>
        <w:t>mentre dell’</w:t>
      </w:r>
      <w:proofErr w:type="spellStart"/>
      <w:r w:rsidRPr="007549B0">
        <w:rPr>
          <w:sz w:val="22"/>
          <w:szCs w:val="22"/>
        </w:rPr>
        <w:t>AdP</w:t>
      </w:r>
      <w:proofErr w:type="spellEnd"/>
      <w:r w:rsidRPr="007549B0">
        <w:rPr>
          <w:sz w:val="22"/>
          <w:szCs w:val="22"/>
        </w:rPr>
        <w:t xml:space="preserve"> </w:t>
      </w:r>
      <w:r w:rsidRPr="007549B0">
        <w:rPr>
          <w:rFonts w:eastAsiaTheme="minorHAnsi"/>
          <w:i/>
          <w:color w:val="000000"/>
          <w:sz w:val="22"/>
          <w:szCs w:val="22"/>
          <w:lang w:eastAsia="en-US"/>
        </w:rPr>
        <w:t>valuta la coerenza con il presente regolamento</w:t>
      </w:r>
      <w:r w:rsidRPr="007549B0">
        <w:rPr>
          <w:rFonts w:eastAsiaTheme="minorHAnsi"/>
          <w:color w:val="000000"/>
          <w:sz w:val="22"/>
          <w:szCs w:val="22"/>
          <w:lang w:eastAsia="en-US"/>
        </w:rPr>
        <w:t>.</w:t>
      </w:r>
    </w:p>
    <w:p w:rsidR="00F63C92" w:rsidRDefault="00F63C92" w:rsidP="00F63C92">
      <w:pPr>
        <w:autoSpaceDE w:val="0"/>
        <w:autoSpaceDN w:val="0"/>
        <w:adjustRightInd w:val="0"/>
        <w:jc w:val="both"/>
        <w:rPr>
          <w:rFonts w:eastAsiaTheme="minorHAnsi"/>
          <w:color w:val="000000"/>
          <w:sz w:val="22"/>
          <w:szCs w:val="22"/>
          <w:lang w:eastAsia="en-US"/>
        </w:rPr>
      </w:pPr>
    </w:p>
    <w:p w:rsidR="002F0206" w:rsidRDefault="00AC0004" w:rsidP="00F63C92">
      <w:pPr>
        <w:autoSpaceDE w:val="0"/>
        <w:autoSpaceDN w:val="0"/>
        <w:adjustRightInd w:val="0"/>
        <w:jc w:val="both"/>
        <w:rPr>
          <w:b/>
          <w:sz w:val="22"/>
          <w:szCs w:val="22"/>
          <w:u w:val="single"/>
        </w:rPr>
      </w:pPr>
      <w:r>
        <w:rPr>
          <w:sz w:val="22"/>
          <w:szCs w:val="22"/>
        </w:rPr>
        <w:t>Per quanto riguarda la tempistica, n</w:t>
      </w:r>
      <w:r w:rsidR="002F0206" w:rsidRPr="00A811AC">
        <w:rPr>
          <w:sz w:val="22"/>
          <w:szCs w:val="22"/>
        </w:rPr>
        <w:t xml:space="preserve">ell’attuale programmazione è stata prevista la possibilità per lo Stato Membro della </w:t>
      </w:r>
      <w:r w:rsidR="002F0206" w:rsidRPr="00AC0004">
        <w:rPr>
          <w:sz w:val="22"/>
          <w:szCs w:val="22"/>
          <w:u w:val="single"/>
        </w:rPr>
        <w:t>presentazione contestuale del QSN e dei PO</w:t>
      </w:r>
      <w:r w:rsidR="002F0206" w:rsidRPr="00A811AC">
        <w:rPr>
          <w:sz w:val="22"/>
          <w:szCs w:val="22"/>
        </w:rPr>
        <w:t xml:space="preserve"> (Cfr. art. 28 del Reg. (CE) 1083/2006), mentre il nuovo regolamento per la futura programmazione prevede che </w:t>
      </w:r>
      <w:r w:rsidR="002F0206" w:rsidRPr="00A811AC">
        <w:rPr>
          <w:b/>
          <w:sz w:val="22"/>
          <w:szCs w:val="22"/>
        </w:rPr>
        <w:t>i PO debbano essere presentati alla Commissione entro tre mesi dalla presentazione dell’Accordo di Partenariato</w:t>
      </w:r>
      <w:r w:rsidR="002F0206" w:rsidRPr="00A811AC">
        <w:rPr>
          <w:sz w:val="22"/>
          <w:szCs w:val="22"/>
        </w:rPr>
        <w:t xml:space="preserve"> (Cfr. </w:t>
      </w:r>
      <w:r w:rsidR="002F0206">
        <w:rPr>
          <w:sz w:val="22"/>
          <w:szCs w:val="22"/>
        </w:rPr>
        <w:t xml:space="preserve">art. 26 del Reg. (UE) 1303/201), </w:t>
      </w:r>
      <w:r w:rsidR="002F0206" w:rsidRPr="002F0206">
        <w:rPr>
          <w:b/>
          <w:sz w:val="22"/>
          <w:szCs w:val="22"/>
        </w:rPr>
        <w:t>il che non impedirebbe la consegna contestuale</w:t>
      </w:r>
      <w:r w:rsidR="002F0206" w:rsidRPr="00AC0004">
        <w:rPr>
          <w:b/>
          <w:sz w:val="22"/>
          <w:szCs w:val="22"/>
        </w:rPr>
        <w:t xml:space="preserve">. Ad ogni modo </w:t>
      </w:r>
      <w:r>
        <w:rPr>
          <w:rFonts w:eastAsiaTheme="minorHAnsi"/>
          <w:color w:val="000000"/>
          <w:sz w:val="22"/>
          <w:szCs w:val="22"/>
          <w:lang w:eastAsia="en-US"/>
        </w:rPr>
        <w:t>l’</w:t>
      </w:r>
      <w:proofErr w:type="spellStart"/>
      <w:r>
        <w:rPr>
          <w:rFonts w:eastAsiaTheme="minorHAnsi"/>
          <w:color w:val="000000"/>
          <w:sz w:val="22"/>
          <w:szCs w:val="22"/>
          <w:lang w:eastAsia="en-US"/>
        </w:rPr>
        <w:t>AdP</w:t>
      </w:r>
      <w:proofErr w:type="spellEnd"/>
      <w:r>
        <w:rPr>
          <w:rFonts w:eastAsiaTheme="minorHAnsi"/>
          <w:color w:val="000000"/>
          <w:sz w:val="22"/>
          <w:szCs w:val="22"/>
          <w:lang w:eastAsia="en-US"/>
        </w:rPr>
        <w:t xml:space="preserve"> dovrà essere presentato al più tardi entro </w:t>
      </w:r>
      <w:r w:rsidRPr="00A811AC">
        <w:rPr>
          <w:rFonts w:eastAsiaTheme="minorHAnsi"/>
          <w:b/>
          <w:sz w:val="22"/>
          <w:szCs w:val="22"/>
          <w:lang w:eastAsia="en-US"/>
        </w:rPr>
        <w:t>il 22 aprile 2014</w:t>
      </w:r>
      <w:r>
        <w:rPr>
          <w:rFonts w:eastAsiaTheme="minorHAnsi"/>
          <w:b/>
          <w:sz w:val="22"/>
          <w:szCs w:val="22"/>
          <w:lang w:eastAsia="en-US"/>
        </w:rPr>
        <w:t xml:space="preserve"> ed </w:t>
      </w:r>
      <w:r w:rsidR="002F0206" w:rsidRPr="00AC0004">
        <w:rPr>
          <w:rFonts w:eastAsiaTheme="minorHAnsi"/>
          <w:b/>
          <w:sz w:val="22"/>
          <w:szCs w:val="22"/>
          <w:lang w:eastAsia="en-US"/>
        </w:rPr>
        <w:t>il limite</w:t>
      </w:r>
      <w:r w:rsidR="002F0206" w:rsidRPr="00EB2045">
        <w:rPr>
          <w:rFonts w:eastAsiaTheme="minorHAnsi"/>
          <w:b/>
          <w:sz w:val="22"/>
          <w:szCs w:val="22"/>
          <w:lang w:eastAsia="en-US"/>
        </w:rPr>
        <w:t xml:space="preserve"> massimo per la consegna dei PO sarebbe </w:t>
      </w:r>
      <w:r>
        <w:rPr>
          <w:rFonts w:eastAsiaTheme="minorHAnsi"/>
          <w:b/>
          <w:sz w:val="22"/>
          <w:szCs w:val="22"/>
          <w:lang w:eastAsia="en-US"/>
        </w:rPr>
        <w:t xml:space="preserve">in quel caso </w:t>
      </w:r>
      <w:r w:rsidR="002F0206" w:rsidRPr="00EB2045">
        <w:rPr>
          <w:rFonts w:eastAsiaTheme="minorHAnsi"/>
          <w:b/>
          <w:sz w:val="22"/>
          <w:szCs w:val="22"/>
          <w:lang w:eastAsia="en-US"/>
        </w:rPr>
        <w:t>il 21 luglio 2014</w:t>
      </w:r>
      <w:r w:rsidR="002F0206">
        <w:rPr>
          <w:rFonts w:eastAsiaTheme="minorHAnsi"/>
          <w:sz w:val="22"/>
          <w:szCs w:val="22"/>
          <w:lang w:eastAsia="en-US"/>
        </w:rPr>
        <w:t>.</w:t>
      </w:r>
    </w:p>
    <w:p w:rsidR="006B441C" w:rsidRDefault="006B441C" w:rsidP="00F63C92">
      <w:pPr>
        <w:autoSpaceDE w:val="0"/>
        <w:autoSpaceDN w:val="0"/>
        <w:adjustRightInd w:val="0"/>
        <w:jc w:val="both"/>
        <w:rPr>
          <w:rFonts w:eastAsiaTheme="minorHAnsi"/>
          <w:color w:val="000000"/>
          <w:sz w:val="22"/>
          <w:szCs w:val="22"/>
          <w:lang w:eastAsia="en-US"/>
        </w:rPr>
      </w:pPr>
      <w:r w:rsidRPr="007549B0">
        <w:rPr>
          <w:rFonts w:eastAsiaTheme="minorHAnsi"/>
          <w:color w:val="000000"/>
          <w:sz w:val="22"/>
          <w:szCs w:val="22"/>
          <w:lang w:eastAsia="en-US"/>
        </w:rPr>
        <w:t xml:space="preserve">Nella attuale programmazione, </w:t>
      </w:r>
      <w:r w:rsidRPr="005F7777">
        <w:rPr>
          <w:rFonts w:eastAsiaTheme="minorHAnsi"/>
          <w:color w:val="000000"/>
          <w:sz w:val="22"/>
          <w:szCs w:val="22"/>
          <w:u w:val="single"/>
          <w:lang w:eastAsia="en-US"/>
        </w:rPr>
        <w:t xml:space="preserve">prima o al momento </w:t>
      </w:r>
      <w:r w:rsidRPr="009B2007">
        <w:rPr>
          <w:rFonts w:eastAsiaTheme="minorHAnsi"/>
          <w:color w:val="000000"/>
          <w:sz w:val="22"/>
          <w:szCs w:val="22"/>
          <w:u w:val="single"/>
          <w:lang w:eastAsia="en-US"/>
        </w:rPr>
        <w:t xml:space="preserve">dell'adozione </w:t>
      </w:r>
      <w:r w:rsidRPr="005F7777">
        <w:rPr>
          <w:rFonts w:eastAsiaTheme="minorHAnsi"/>
          <w:color w:val="000000"/>
          <w:sz w:val="22"/>
          <w:szCs w:val="22"/>
          <w:u w:val="single"/>
          <w:lang w:eastAsia="en-US"/>
        </w:rPr>
        <w:t>dei programmi operativi</w:t>
      </w:r>
      <w:r w:rsidRPr="007549B0">
        <w:rPr>
          <w:rFonts w:eastAsiaTheme="minorHAnsi"/>
          <w:color w:val="000000"/>
          <w:sz w:val="22"/>
          <w:szCs w:val="22"/>
          <w:lang w:eastAsia="en-US"/>
        </w:rPr>
        <w:t xml:space="preserve">, la Commissione, previa consultazione dello Stato membro, adotta una decisione </w:t>
      </w:r>
      <w:r w:rsidRPr="007549B0">
        <w:rPr>
          <w:rFonts w:eastAsiaTheme="minorHAnsi"/>
          <w:i/>
          <w:color w:val="000000"/>
          <w:sz w:val="22"/>
          <w:szCs w:val="22"/>
          <w:lang w:eastAsia="en-US"/>
        </w:rPr>
        <w:t xml:space="preserve">riguardante </w:t>
      </w:r>
      <w:r>
        <w:rPr>
          <w:rFonts w:eastAsiaTheme="minorHAnsi"/>
          <w:i/>
          <w:color w:val="000000"/>
          <w:sz w:val="22"/>
          <w:szCs w:val="22"/>
          <w:lang w:eastAsia="en-US"/>
        </w:rPr>
        <w:t xml:space="preserve">solo i pochissimi elementi già citati. </w:t>
      </w:r>
      <w:r w:rsidRPr="007549B0">
        <w:rPr>
          <w:rFonts w:eastAsiaTheme="minorHAnsi"/>
          <w:color w:val="000000"/>
          <w:sz w:val="22"/>
          <w:szCs w:val="22"/>
          <w:lang w:eastAsia="en-US"/>
        </w:rPr>
        <w:t xml:space="preserve">Mentre nella futura programmazione </w:t>
      </w:r>
      <w:r w:rsidRPr="00F021EC">
        <w:rPr>
          <w:rFonts w:eastAsiaTheme="minorHAnsi"/>
          <w:b/>
          <w:color w:val="000000"/>
          <w:sz w:val="22"/>
          <w:szCs w:val="22"/>
          <w:lang w:eastAsia="en-US"/>
        </w:rPr>
        <w:t>la Co</w:t>
      </w:r>
      <w:r w:rsidR="004502EA" w:rsidRPr="00F021EC">
        <w:rPr>
          <w:rFonts w:eastAsiaTheme="minorHAnsi"/>
          <w:b/>
          <w:color w:val="000000"/>
          <w:sz w:val="22"/>
          <w:szCs w:val="22"/>
          <w:lang w:eastAsia="en-US"/>
        </w:rPr>
        <w:t>mmissione adotta una decisione</w:t>
      </w:r>
      <w:r w:rsidRPr="00F021EC">
        <w:rPr>
          <w:rFonts w:eastAsiaTheme="minorHAnsi"/>
          <w:b/>
          <w:color w:val="000000"/>
          <w:sz w:val="22"/>
          <w:szCs w:val="22"/>
          <w:lang w:eastAsia="en-US"/>
        </w:rPr>
        <w:t xml:space="preserve"> con la quale approva gli elementi dell'accordo di partenariato, entro quattro mesi</w:t>
      </w:r>
      <w:r w:rsidRPr="002F0206">
        <w:rPr>
          <w:rFonts w:eastAsiaTheme="minorHAnsi"/>
          <w:b/>
          <w:color w:val="000000"/>
          <w:sz w:val="22"/>
          <w:szCs w:val="22"/>
          <w:lang w:eastAsia="en-US"/>
        </w:rPr>
        <w:t xml:space="preserve"> dalla data di presentazione</w:t>
      </w:r>
      <w:r w:rsidRPr="007549B0">
        <w:rPr>
          <w:rFonts w:eastAsiaTheme="minorHAnsi"/>
          <w:color w:val="000000"/>
          <w:sz w:val="22"/>
          <w:szCs w:val="22"/>
          <w:lang w:eastAsia="en-US"/>
        </w:rPr>
        <w:t xml:space="preserve"> del proprio accordo di partenariato da parte dello Stato membro.</w:t>
      </w:r>
      <w:r w:rsidR="002F0206" w:rsidRPr="002F0206">
        <w:rPr>
          <w:rFonts w:eastAsiaTheme="minorHAnsi"/>
          <w:sz w:val="22"/>
          <w:szCs w:val="22"/>
          <w:lang w:eastAsia="en-US"/>
        </w:rPr>
        <w:t xml:space="preserve"> </w:t>
      </w:r>
      <w:r w:rsidR="00F021EC">
        <w:rPr>
          <w:rFonts w:eastAsiaTheme="minorHAnsi"/>
          <w:sz w:val="22"/>
          <w:szCs w:val="22"/>
          <w:u w:val="single"/>
          <w:lang w:eastAsia="en-US"/>
        </w:rPr>
        <w:t>L’</w:t>
      </w:r>
      <w:r w:rsidR="002F0206" w:rsidRPr="00AC0004">
        <w:rPr>
          <w:rFonts w:eastAsiaTheme="minorHAnsi"/>
          <w:sz w:val="22"/>
          <w:szCs w:val="22"/>
          <w:u w:val="single"/>
          <w:lang w:eastAsia="en-US"/>
        </w:rPr>
        <w:t xml:space="preserve">approvazione dei PO </w:t>
      </w:r>
      <w:r w:rsidR="00AC0004" w:rsidRPr="00AC0004">
        <w:rPr>
          <w:rFonts w:eastAsiaTheme="minorHAnsi"/>
          <w:sz w:val="22"/>
          <w:szCs w:val="22"/>
          <w:u w:val="single"/>
          <w:lang w:eastAsia="en-US"/>
        </w:rPr>
        <w:t xml:space="preserve">dovrebbe avvenire </w:t>
      </w:r>
      <w:r w:rsidR="002F0206" w:rsidRPr="00AC0004">
        <w:rPr>
          <w:rFonts w:eastAsiaTheme="minorHAnsi"/>
          <w:sz w:val="22"/>
          <w:szCs w:val="22"/>
          <w:u w:val="single"/>
          <w:lang w:eastAsia="en-US"/>
        </w:rPr>
        <w:t>entro sei mesi dalla presentazione,</w:t>
      </w:r>
      <w:r w:rsidR="002F0206">
        <w:rPr>
          <w:rFonts w:eastAsiaTheme="minorHAnsi"/>
          <w:b/>
          <w:sz w:val="22"/>
          <w:szCs w:val="22"/>
          <w:lang w:eastAsia="en-US"/>
        </w:rPr>
        <w:t xml:space="preserve"> </w:t>
      </w:r>
      <w:r w:rsidR="002F0206" w:rsidRPr="000D3AAD">
        <w:rPr>
          <w:rFonts w:eastAsiaTheme="minorHAnsi"/>
          <w:b/>
          <w:sz w:val="22"/>
          <w:szCs w:val="22"/>
          <w:lang w:eastAsia="en-US"/>
        </w:rPr>
        <w:t>ma non prima che abbia adottato una decisione di approvazio</w:t>
      </w:r>
      <w:r w:rsidR="002F0206">
        <w:rPr>
          <w:rFonts w:eastAsiaTheme="minorHAnsi"/>
          <w:b/>
          <w:sz w:val="22"/>
          <w:szCs w:val="22"/>
          <w:lang w:eastAsia="en-US"/>
        </w:rPr>
        <w:t>ne dell'Accordo di Partenariato</w:t>
      </w:r>
    </w:p>
    <w:p w:rsidR="00AC0004" w:rsidRDefault="00AC0004" w:rsidP="00A811AC">
      <w:pPr>
        <w:autoSpaceDE w:val="0"/>
        <w:autoSpaceDN w:val="0"/>
        <w:adjustRightInd w:val="0"/>
        <w:ind w:firstLine="708"/>
        <w:jc w:val="both"/>
        <w:rPr>
          <w:rFonts w:eastAsiaTheme="minorHAnsi"/>
          <w:color w:val="000000"/>
          <w:sz w:val="22"/>
          <w:szCs w:val="22"/>
          <w:lang w:eastAsia="en-US"/>
        </w:rPr>
      </w:pPr>
    </w:p>
    <w:p w:rsidR="004502EA" w:rsidRDefault="004502EA" w:rsidP="00A811AC">
      <w:pPr>
        <w:autoSpaceDE w:val="0"/>
        <w:autoSpaceDN w:val="0"/>
        <w:adjustRightInd w:val="0"/>
        <w:ind w:firstLine="708"/>
        <w:jc w:val="both"/>
        <w:rPr>
          <w:rFonts w:eastAsiaTheme="minorHAnsi"/>
          <w:color w:val="000000"/>
          <w:sz w:val="22"/>
          <w:szCs w:val="22"/>
          <w:lang w:eastAsia="en-US"/>
        </w:rPr>
      </w:pPr>
    </w:p>
    <w:p w:rsidR="00AC0004" w:rsidRPr="00A811AC" w:rsidRDefault="004502EA" w:rsidP="00F63C92">
      <w:pPr>
        <w:jc w:val="both"/>
        <w:rPr>
          <w:sz w:val="22"/>
          <w:szCs w:val="22"/>
        </w:rPr>
      </w:pPr>
      <w:r w:rsidRPr="005F7777">
        <w:rPr>
          <w:sz w:val="22"/>
          <w:szCs w:val="22"/>
          <w:u w:val="single"/>
        </w:rPr>
        <w:lastRenderedPageBreak/>
        <w:t>La tempistica per le formulazioni</w:t>
      </w:r>
      <w:r w:rsidRPr="007549B0">
        <w:rPr>
          <w:sz w:val="22"/>
          <w:szCs w:val="22"/>
        </w:rPr>
        <w:t xml:space="preserve"> delle osservazioni da parte della Commissione </w:t>
      </w:r>
      <w:r>
        <w:rPr>
          <w:sz w:val="22"/>
          <w:szCs w:val="22"/>
        </w:rPr>
        <w:t xml:space="preserve">all’Accordo </w:t>
      </w:r>
      <w:r w:rsidRPr="005F7777">
        <w:rPr>
          <w:sz w:val="22"/>
          <w:szCs w:val="22"/>
          <w:u w:val="single"/>
        </w:rPr>
        <w:t>resta la stessa di tre mesi</w:t>
      </w:r>
      <w:r w:rsidR="009B2007">
        <w:rPr>
          <w:sz w:val="22"/>
          <w:szCs w:val="22"/>
          <w:u w:val="single"/>
        </w:rPr>
        <w:t xml:space="preserve"> </w:t>
      </w:r>
      <w:r w:rsidR="009B2007" w:rsidRPr="009B2007">
        <w:rPr>
          <w:sz w:val="22"/>
          <w:szCs w:val="22"/>
        </w:rPr>
        <w:t xml:space="preserve">e chiaramente </w:t>
      </w:r>
      <w:r w:rsidR="009B2007">
        <w:rPr>
          <w:sz w:val="22"/>
          <w:szCs w:val="22"/>
        </w:rPr>
        <w:t>la trasmissione di osservazioni da parte della Co</w:t>
      </w:r>
      <w:r w:rsidR="00F021EC">
        <w:rPr>
          <w:sz w:val="22"/>
          <w:szCs w:val="22"/>
        </w:rPr>
        <w:t>m</w:t>
      </w:r>
      <w:r w:rsidR="009B2007">
        <w:rPr>
          <w:sz w:val="22"/>
          <w:szCs w:val="22"/>
        </w:rPr>
        <w:t xml:space="preserve">missione </w:t>
      </w:r>
      <w:r w:rsidR="009B2007" w:rsidRPr="009B2007">
        <w:rPr>
          <w:sz w:val="22"/>
          <w:szCs w:val="22"/>
        </w:rPr>
        <w:t>rende non più vincolanti i termini previsti per l’adozione dell’</w:t>
      </w:r>
      <w:proofErr w:type="spellStart"/>
      <w:r w:rsidR="009B2007" w:rsidRPr="009B2007">
        <w:rPr>
          <w:sz w:val="22"/>
          <w:szCs w:val="22"/>
        </w:rPr>
        <w:t>AdP</w:t>
      </w:r>
      <w:proofErr w:type="spellEnd"/>
      <w:r w:rsidR="009B2007" w:rsidRPr="009B2007">
        <w:rPr>
          <w:sz w:val="22"/>
          <w:szCs w:val="22"/>
        </w:rPr>
        <w:t xml:space="preserve"> e dei PO</w:t>
      </w:r>
      <w:r w:rsidRPr="009D0589">
        <w:rPr>
          <w:b/>
          <w:sz w:val="22"/>
          <w:szCs w:val="22"/>
        </w:rPr>
        <w:t>.</w:t>
      </w:r>
      <w:r w:rsidRPr="007549B0">
        <w:rPr>
          <w:sz w:val="22"/>
          <w:szCs w:val="22"/>
        </w:rPr>
        <w:t xml:space="preserve"> </w:t>
      </w:r>
      <w:r w:rsidR="002F0206" w:rsidRPr="00B43101">
        <w:rPr>
          <w:sz w:val="22"/>
          <w:szCs w:val="22"/>
        </w:rPr>
        <w:t xml:space="preserve">L’adeguato recepimento delle osservazioni della Commissione da parte dello </w:t>
      </w:r>
      <w:r w:rsidR="00B43101" w:rsidRPr="00B43101">
        <w:rPr>
          <w:sz w:val="22"/>
          <w:szCs w:val="22"/>
        </w:rPr>
        <w:t xml:space="preserve">Stato </w:t>
      </w:r>
      <w:r w:rsidR="002F0206" w:rsidRPr="00B43101">
        <w:rPr>
          <w:sz w:val="22"/>
          <w:szCs w:val="22"/>
        </w:rPr>
        <w:t>membro</w:t>
      </w:r>
      <w:r w:rsidR="009B2007" w:rsidRPr="00B43101">
        <w:rPr>
          <w:sz w:val="22"/>
          <w:szCs w:val="22"/>
        </w:rPr>
        <w:t>, d’altro canto, rappresenta</w:t>
      </w:r>
      <w:r w:rsidR="002F0206" w:rsidRPr="00B43101">
        <w:rPr>
          <w:sz w:val="22"/>
          <w:szCs w:val="22"/>
        </w:rPr>
        <w:t xml:space="preserve"> la condizione </w:t>
      </w:r>
      <w:r w:rsidR="009B2007" w:rsidRPr="00B43101">
        <w:rPr>
          <w:sz w:val="22"/>
          <w:szCs w:val="22"/>
        </w:rPr>
        <w:t xml:space="preserve">alla quale </w:t>
      </w:r>
      <w:r w:rsidR="00B43101" w:rsidRPr="00B43101">
        <w:rPr>
          <w:sz w:val="22"/>
          <w:szCs w:val="22"/>
        </w:rPr>
        <w:t>la Commissione procederà al</w:t>
      </w:r>
      <w:r w:rsidR="002F0206" w:rsidRPr="00B43101">
        <w:rPr>
          <w:sz w:val="22"/>
          <w:szCs w:val="22"/>
        </w:rPr>
        <w:t>l’approvazione dei documenti programmatori.</w:t>
      </w:r>
    </w:p>
    <w:p w:rsidR="00AC0004" w:rsidRPr="00A811AC" w:rsidRDefault="00AC0004" w:rsidP="00F63C92">
      <w:pPr>
        <w:autoSpaceDE w:val="0"/>
        <w:autoSpaceDN w:val="0"/>
        <w:adjustRightInd w:val="0"/>
        <w:jc w:val="both"/>
        <w:rPr>
          <w:rFonts w:eastAsiaTheme="minorHAnsi"/>
          <w:sz w:val="22"/>
          <w:szCs w:val="22"/>
          <w:lang w:eastAsia="en-US"/>
        </w:rPr>
      </w:pPr>
      <w:r>
        <w:rPr>
          <w:rFonts w:eastAsiaTheme="minorHAnsi"/>
          <w:sz w:val="22"/>
          <w:szCs w:val="22"/>
          <w:lang w:eastAsia="en-US"/>
        </w:rPr>
        <w:t xml:space="preserve">Vista </w:t>
      </w:r>
      <w:r w:rsidRPr="005C71B4">
        <w:rPr>
          <w:rFonts w:eastAsiaTheme="minorHAnsi"/>
          <w:sz w:val="22"/>
          <w:szCs w:val="22"/>
          <w:lang w:eastAsia="en-US"/>
        </w:rPr>
        <w:t>la tempistica</w:t>
      </w:r>
      <w:r>
        <w:rPr>
          <w:rFonts w:eastAsiaTheme="minorHAnsi"/>
          <w:sz w:val="22"/>
          <w:szCs w:val="22"/>
          <w:lang w:eastAsia="en-US"/>
        </w:rPr>
        <w:t xml:space="preserve">, nella fase di verifica da parte della Commissione dei PO, </w:t>
      </w:r>
      <w:r w:rsidRPr="00A41B93">
        <w:rPr>
          <w:rFonts w:eastAsiaTheme="minorHAnsi"/>
          <w:b/>
          <w:sz w:val="22"/>
          <w:szCs w:val="22"/>
          <w:lang w:eastAsia="en-US"/>
        </w:rPr>
        <w:t>le Regioni devono prestare particolare attenzione alle eventuali osservazioni della Commissione sull’Accordo di Partenariato</w:t>
      </w:r>
      <w:r>
        <w:rPr>
          <w:rFonts w:eastAsiaTheme="minorHAnsi"/>
          <w:sz w:val="22"/>
          <w:szCs w:val="22"/>
          <w:lang w:eastAsia="en-US"/>
        </w:rPr>
        <w:t>, e di come in esso saranno recepite, in modo da tener conto degli elementi essenziali che impatteranno sulla architettura di programmazione, traducendoli in pertinenti modifiche dei PO.</w:t>
      </w:r>
    </w:p>
    <w:p w:rsidR="0010639D" w:rsidRDefault="0010639D" w:rsidP="0010639D">
      <w:pPr>
        <w:autoSpaceDE w:val="0"/>
        <w:autoSpaceDN w:val="0"/>
        <w:adjustRightInd w:val="0"/>
        <w:jc w:val="both"/>
        <w:rPr>
          <w:b/>
          <w:sz w:val="22"/>
          <w:szCs w:val="22"/>
          <w:u w:val="single"/>
        </w:rPr>
      </w:pPr>
    </w:p>
    <w:p w:rsidR="0010639D" w:rsidRDefault="0010639D" w:rsidP="0010639D">
      <w:pPr>
        <w:autoSpaceDE w:val="0"/>
        <w:autoSpaceDN w:val="0"/>
        <w:adjustRightInd w:val="0"/>
        <w:jc w:val="both"/>
        <w:rPr>
          <w:rFonts w:eastAsiaTheme="minorHAnsi"/>
          <w:b/>
          <w:color w:val="000000"/>
          <w:sz w:val="22"/>
          <w:szCs w:val="22"/>
          <w:lang w:eastAsia="en-US"/>
        </w:rPr>
      </w:pPr>
      <w:r w:rsidRPr="00DE0C90">
        <w:rPr>
          <w:b/>
          <w:sz w:val="22"/>
          <w:szCs w:val="22"/>
        </w:rPr>
        <w:t>Contenuti</w:t>
      </w:r>
    </w:p>
    <w:p w:rsidR="0010639D" w:rsidRDefault="0010639D" w:rsidP="00A811AC">
      <w:pPr>
        <w:autoSpaceDE w:val="0"/>
        <w:autoSpaceDN w:val="0"/>
        <w:adjustRightInd w:val="0"/>
        <w:ind w:firstLine="708"/>
        <w:jc w:val="both"/>
        <w:rPr>
          <w:rFonts w:eastAsiaTheme="minorHAnsi"/>
          <w:b/>
          <w:color w:val="000000"/>
          <w:sz w:val="22"/>
          <w:szCs w:val="22"/>
          <w:lang w:eastAsia="en-US"/>
        </w:rPr>
      </w:pPr>
    </w:p>
    <w:p w:rsidR="009B0B18" w:rsidRDefault="006B441C" w:rsidP="00F63C92">
      <w:pPr>
        <w:autoSpaceDE w:val="0"/>
        <w:autoSpaceDN w:val="0"/>
        <w:adjustRightInd w:val="0"/>
        <w:jc w:val="both"/>
        <w:rPr>
          <w:rFonts w:eastAsiaTheme="minorHAnsi"/>
          <w:b/>
          <w:color w:val="000000"/>
          <w:sz w:val="22"/>
          <w:szCs w:val="22"/>
          <w:lang w:eastAsia="en-US"/>
        </w:rPr>
      </w:pPr>
      <w:r w:rsidRPr="009B0B18">
        <w:rPr>
          <w:rFonts w:eastAsiaTheme="minorHAnsi"/>
          <w:b/>
          <w:color w:val="000000"/>
          <w:sz w:val="22"/>
          <w:szCs w:val="22"/>
          <w:lang w:eastAsia="en-US"/>
        </w:rPr>
        <w:t>La Commissione</w:t>
      </w:r>
      <w:r w:rsidR="00447F19">
        <w:rPr>
          <w:rFonts w:eastAsiaTheme="minorHAnsi"/>
          <w:b/>
          <w:color w:val="000000"/>
          <w:sz w:val="22"/>
          <w:szCs w:val="22"/>
          <w:lang w:eastAsia="en-US"/>
        </w:rPr>
        <w:t xml:space="preserve">, </w:t>
      </w:r>
      <w:r w:rsidR="00447F19" w:rsidRPr="00447F19">
        <w:rPr>
          <w:rFonts w:eastAsiaTheme="minorHAnsi"/>
          <w:color w:val="000000"/>
          <w:sz w:val="22"/>
          <w:szCs w:val="22"/>
          <w:lang w:eastAsia="en-US"/>
        </w:rPr>
        <w:t>secondo il dettato regolamentare del RDC</w:t>
      </w:r>
      <w:r w:rsidR="00F021EC">
        <w:rPr>
          <w:rFonts w:eastAsiaTheme="minorHAnsi"/>
          <w:color w:val="000000"/>
          <w:sz w:val="22"/>
          <w:szCs w:val="22"/>
          <w:lang w:eastAsia="en-US"/>
        </w:rPr>
        <w:t>,</w:t>
      </w:r>
      <w:r w:rsidRPr="009B0B18">
        <w:rPr>
          <w:rFonts w:eastAsiaTheme="minorHAnsi"/>
          <w:b/>
          <w:color w:val="000000"/>
          <w:sz w:val="22"/>
          <w:szCs w:val="22"/>
          <w:lang w:eastAsia="en-US"/>
        </w:rPr>
        <w:t xml:space="preserve"> adotterà una decisione nel merito di una serie di elementi più </w:t>
      </w:r>
      <w:r w:rsidR="00447F19">
        <w:rPr>
          <w:rFonts w:eastAsiaTheme="minorHAnsi"/>
          <w:b/>
          <w:color w:val="000000"/>
          <w:sz w:val="22"/>
          <w:szCs w:val="22"/>
          <w:lang w:eastAsia="en-US"/>
        </w:rPr>
        <w:t xml:space="preserve">dirimenti la strategia dell’Accordo di Partenariato, </w:t>
      </w:r>
      <w:r w:rsidR="00447F19" w:rsidRPr="004502EA">
        <w:rPr>
          <w:rFonts w:eastAsiaTheme="minorHAnsi"/>
          <w:color w:val="000000"/>
          <w:sz w:val="22"/>
          <w:szCs w:val="22"/>
          <w:lang w:eastAsia="en-US"/>
        </w:rPr>
        <w:t xml:space="preserve">cifra di quali siano gli aspetti </w:t>
      </w:r>
      <w:r w:rsidR="004502EA" w:rsidRPr="004502EA">
        <w:rPr>
          <w:rFonts w:eastAsiaTheme="minorHAnsi"/>
          <w:color w:val="000000"/>
          <w:sz w:val="22"/>
          <w:szCs w:val="22"/>
          <w:lang w:eastAsia="en-US"/>
        </w:rPr>
        <w:t>s</w:t>
      </w:r>
      <w:r w:rsidR="00447F19" w:rsidRPr="004502EA">
        <w:rPr>
          <w:rFonts w:eastAsiaTheme="minorHAnsi"/>
          <w:color w:val="000000"/>
          <w:sz w:val="22"/>
          <w:szCs w:val="22"/>
          <w:lang w:eastAsia="en-US"/>
        </w:rPr>
        <w:t>trategici da affrontare</w:t>
      </w:r>
      <w:r w:rsidR="00447F19" w:rsidRPr="00447F19">
        <w:rPr>
          <w:rFonts w:eastAsiaTheme="minorHAnsi"/>
          <w:b/>
          <w:color w:val="000000"/>
          <w:sz w:val="22"/>
          <w:szCs w:val="22"/>
          <w:lang w:eastAsia="en-US"/>
        </w:rPr>
        <w:t>.</w:t>
      </w:r>
      <w:r w:rsidR="004502EA">
        <w:rPr>
          <w:rFonts w:eastAsiaTheme="minorHAnsi"/>
          <w:b/>
          <w:color w:val="000000"/>
          <w:sz w:val="22"/>
          <w:szCs w:val="22"/>
          <w:lang w:eastAsia="en-US"/>
        </w:rPr>
        <w:t xml:space="preserve"> </w:t>
      </w:r>
      <w:r w:rsidR="004502EA" w:rsidRPr="004502EA">
        <w:rPr>
          <w:rFonts w:eastAsiaTheme="minorHAnsi"/>
          <w:color w:val="000000"/>
          <w:sz w:val="22"/>
          <w:szCs w:val="22"/>
          <w:lang w:eastAsia="en-US"/>
        </w:rPr>
        <w:t>G</w:t>
      </w:r>
      <w:r w:rsidRPr="007549B0">
        <w:rPr>
          <w:rFonts w:eastAsiaTheme="minorHAnsi"/>
          <w:color w:val="000000"/>
          <w:sz w:val="22"/>
          <w:szCs w:val="22"/>
          <w:lang w:eastAsia="en-US"/>
        </w:rPr>
        <w:t xml:space="preserve">li elementi salienti e innovativi riguardano </w:t>
      </w:r>
      <w:r w:rsidR="00970579" w:rsidRPr="004E3943">
        <w:rPr>
          <w:rFonts w:eastAsiaTheme="minorHAnsi"/>
          <w:color w:val="000000"/>
          <w:sz w:val="22"/>
          <w:szCs w:val="22"/>
          <w:lang w:eastAsia="en-US"/>
        </w:rPr>
        <w:t xml:space="preserve">le </w:t>
      </w:r>
      <w:r w:rsidRPr="004E3943">
        <w:rPr>
          <w:rFonts w:eastAsiaTheme="minorHAnsi"/>
          <w:color w:val="000000"/>
          <w:sz w:val="22"/>
          <w:szCs w:val="22"/>
          <w:lang w:eastAsia="en-US"/>
        </w:rPr>
        <w:t>modalità per garantire</w:t>
      </w:r>
      <w:r w:rsidRPr="009B0B18">
        <w:rPr>
          <w:rFonts w:eastAsiaTheme="minorHAnsi"/>
          <w:b/>
          <w:color w:val="000000"/>
          <w:sz w:val="22"/>
          <w:szCs w:val="22"/>
          <w:lang w:eastAsia="en-US"/>
        </w:rPr>
        <w:t xml:space="preserve"> l'allineamento con la strategia dell'Unione</w:t>
      </w:r>
      <w:r w:rsidR="00970579">
        <w:rPr>
          <w:rFonts w:eastAsiaTheme="minorHAnsi"/>
          <w:b/>
          <w:color w:val="000000"/>
          <w:sz w:val="22"/>
          <w:szCs w:val="22"/>
          <w:lang w:eastAsia="en-US"/>
        </w:rPr>
        <w:t xml:space="preserve"> </w:t>
      </w:r>
      <w:r w:rsidR="00970579" w:rsidRPr="004E3943">
        <w:rPr>
          <w:rFonts w:eastAsiaTheme="minorHAnsi"/>
          <w:color w:val="000000"/>
          <w:sz w:val="22"/>
          <w:szCs w:val="22"/>
          <w:lang w:eastAsia="en-US"/>
        </w:rPr>
        <w:t>e le disposizioni volte a garantire</w:t>
      </w:r>
      <w:r w:rsidR="00970579">
        <w:rPr>
          <w:rFonts w:eastAsiaTheme="minorHAnsi"/>
          <w:b/>
          <w:color w:val="000000"/>
          <w:sz w:val="22"/>
          <w:szCs w:val="22"/>
          <w:lang w:eastAsia="en-US"/>
        </w:rPr>
        <w:t xml:space="preserve"> l’efficacia </w:t>
      </w:r>
      <w:r w:rsidR="004E3943">
        <w:rPr>
          <w:rFonts w:eastAsiaTheme="minorHAnsi"/>
          <w:b/>
          <w:color w:val="000000"/>
          <w:sz w:val="22"/>
          <w:szCs w:val="22"/>
          <w:lang w:eastAsia="en-US"/>
        </w:rPr>
        <w:t>dell’</w:t>
      </w:r>
      <w:r w:rsidR="00970579">
        <w:rPr>
          <w:rFonts w:eastAsiaTheme="minorHAnsi"/>
          <w:b/>
          <w:color w:val="000000"/>
          <w:sz w:val="22"/>
          <w:szCs w:val="22"/>
          <w:lang w:eastAsia="en-US"/>
        </w:rPr>
        <w:t xml:space="preserve">attuazione </w:t>
      </w:r>
      <w:r w:rsidR="00970579" w:rsidRPr="004E3943">
        <w:rPr>
          <w:rFonts w:eastAsiaTheme="minorHAnsi"/>
          <w:color w:val="000000"/>
          <w:sz w:val="22"/>
          <w:szCs w:val="22"/>
          <w:lang w:eastAsia="en-US"/>
        </w:rPr>
        <w:t>dei fondi SIE e la</w:t>
      </w:r>
      <w:r w:rsidR="00970579">
        <w:rPr>
          <w:rFonts w:eastAsiaTheme="minorHAnsi"/>
          <w:b/>
          <w:color w:val="000000"/>
          <w:sz w:val="22"/>
          <w:szCs w:val="22"/>
          <w:lang w:eastAsia="en-US"/>
        </w:rPr>
        <w:t xml:space="preserve"> </w:t>
      </w:r>
      <w:proofErr w:type="spellStart"/>
      <w:r w:rsidR="00970579" w:rsidRPr="00970579">
        <w:rPr>
          <w:rFonts w:eastAsiaTheme="minorHAnsi"/>
          <w:b/>
          <w:i/>
          <w:color w:val="000000"/>
          <w:sz w:val="22"/>
          <w:szCs w:val="22"/>
          <w:lang w:eastAsia="en-US"/>
        </w:rPr>
        <w:t>governanc</w:t>
      </w:r>
      <w:r w:rsidR="00970579">
        <w:rPr>
          <w:rFonts w:eastAsiaTheme="minorHAnsi"/>
          <w:b/>
          <w:color w:val="000000"/>
          <w:sz w:val="22"/>
          <w:szCs w:val="22"/>
          <w:lang w:eastAsia="en-US"/>
        </w:rPr>
        <w:t>e</w:t>
      </w:r>
      <w:proofErr w:type="spellEnd"/>
      <w:r w:rsidR="00970579">
        <w:rPr>
          <w:rFonts w:eastAsiaTheme="minorHAnsi"/>
          <w:b/>
          <w:color w:val="000000"/>
          <w:sz w:val="22"/>
          <w:szCs w:val="22"/>
          <w:lang w:eastAsia="en-US"/>
        </w:rPr>
        <w:t xml:space="preserve"> multilivello</w:t>
      </w:r>
      <w:r w:rsidR="004502EA">
        <w:rPr>
          <w:rStyle w:val="Rimandonotaapidipagina"/>
          <w:rFonts w:eastAsiaTheme="minorHAnsi"/>
          <w:b/>
          <w:color w:val="000000"/>
          <w:sz w:val="22"/>
          <w:szCs w:val="22"/>
          <w:lang w:eastAsia="en-US"/>
        </w:rPr>
        <w:footnoteReference w:id="1"/>
      </w:r>
      <w:r w:rsidR="00970579">
        <w:rPr>
          <w:rFonts w:eastAsiaTheme="minorHAnsi"/>
          <w:b/>
          <w:color w:val="000000"/>
          <w:sz w:val="22"/>
          <w:szCs w:val="22"/>
          <w:lang w:eastAsia="en-US"/>
        </w:rPr>
        <w:t>.</w:t>
      </w:r>
      <w:r w:rsidR="004E3943">
        <w:rPr>
          <w:rFonts w:eastAsiaTheme="minorHAnsi"/>
          <w:b/>
          <w:color w:val="000000"/>
          <w:sz w:val="22"/>
          <w:szCs w:val="22"/>
          <w:lang w:eastAsia="en-US"/>
        </w:rPr>
        <w:t xml:space="preserve"> </w:t>
      </w:r>
    </w:p>
    <w:p w:rsidR="006B441C" w:rsidRPr="004D5DC1" w:rsidRDefault="00571C54" w:rsidP="00F63C92">
      <w:pPr>
        <w:autoSpaceDE w:val="0"/>
        <w:autoSpaceDN w:val="0"/>
        <w:adjustRightInd w:val="0"/>
        <w:spacing w:before="60" w:after="60"/>
        <w:jc w:val="both"/>
        <w:rPr>
          <w:rFonts w:eastAsiaTheme="minorHAnsi"/>
          <w:i/>
          <w:color w:val="000000"/>
          <w:sz w:val="22"/>
          <w:szCs w:val="22"/>
          <w:u w:val="single"/>
          <w:lang w:eastAsia="en-US"/>
        </w:rPr>
      </w:pPr>
      <w:r>
        <w:rPr>
          <w:rFonts w:eastAsiaTheme="minorHAnsi"/>
          <w:color w:val="000000"/>
          <w:sz w:val="22"/>
          <w:szCs w:val="22"/>
          <w:lang w:eastAsia="en-US"/>
        </w:rPr>
        <w:t>Inoltre, si fa notare che, l</w:t>
      </w:r>
      <w:r w:rsidR="006B441C" w:rsidRPr="007549B0">
        <w:rPr>
          <w:rFonts w:eastAsiaTheme="minorHAnsi"/>
          <w:color w:val="000000"/>
          <w:sz w:val="22"/>
          <w:szCs w:val="22"/>
          <w:lang w:eastAsia="en-US"/>
        </w:rPr>
        <w:t xml:space="preserve">’adozione prevista per rafforzare </w:t>
      </w:r>
      <w:r w:rsidR="006B441C" w:rsidRPr="0041791F">
        <w:rPr>
          <w:rFonts w:eastAsiaTheme="minorHAnsi"/>
          <w:i/>
          <w:color w:val="000000"/>
          <w:sz w:val="22"/>
          <w:szCs w:val="22"/>
          <w:u w:val="single"/>
          <w:lang w:eastAsia="en-US"/>
        </w:rPr>
        <w:t>l’efficienza amministrativa</w:t>
      </w:r>
      <w:r w:rsidR="006B441C" w:rsidRPr="007549B0">
        <w:rPr>
          <w:rFonts w:eastAsiaTheme="minorHAnsi"/>
          <w:color w:val="000000"/>
          <w:sz w:val="22"/>
          <w:szCs w:val="22"/>
          <w:lang w:eastAsia="en-US"/>
        </w:rPr>
        <w:t xml:space="preserve"> (elemento già sussistente nel QSN tra quelli su cui la Commissione adotta una decisione), nel </w:t>
      </w:r>
      <w:proofErr w:type="spellStart"/>
      <w:r w:rsidR="006B441C" w:rsidRPr="007549B0">
        <w:rPr>
          <w:rFonts w:eastAsiaTheme="minorHAnsi"/>
          <w:color w:val="000000"/>
          <w:sz w:val="22"/>
          <w:szCs w:val="22"/>
          <w:lang w:eastAsia="en-US"/>
        </w:rPr>
        <w:t>AdP</w:t>
      </w:r>
      <w:proofErr w:type="spellEnd"/>
      <w:r w:rsidR="006B441C" w:rsidRPr="007549B0">
        <w:rPr>
          <w:rFonts w:eastAsiaTheme="minorHAnsi"/>
          <w:color w:val="000000"/>
          <w:sz w:val="22"/>
          <w:szCs w:val="22"/>
          <w:lang w:eastAsia="en-US"/>
        </w:rPr>
        <w:t>, viene esplicitata più dettagliatamente come analisi e valutazione che indica se sussista o meno la necessità di rafforzare la capacità amministrativa delle autorità coinvolte nella gestione e nel controllo dei programmi e, se del caso, dei beneficiari, nonché, se necessario, una sintesi delle az</w:t>
      </w:r>
      <w:r w:rsidR="002E0F01">
        <w:rPr>
          <w:rFonts w:eastAsiaTheme="minorHAnsi"/>
          <w:color w:val="000000"/>
          <w:sz w:val="22"/>
          <w:szCs w:val="22"/>
          <w:lang w:eastAsia="en-US"/>
        </w:rPr>
        <w:t>ioni da adottare a tale scopo; n</w:t>
      </w:r>
      <w:r w:rsidR="006B441C" w:rsidRPr="007549B0">
        <w:rPr>
          <w:rFonts w:eastAsiaTheme="minorHAnsi"/>
          <w:color w:val="000000"/>
          <w:sz w:val="22"/>
          <w:szCs w:val="22"/>
          <w:lang w:eastAsia="en-US"/>
        </w:rPr>
        <w:t xml:space="preserve">onché una sintesi delle azioni previste nei programmi, compreso un calendario indicativo per conseguire </w:t>
      </w:r>
      <w:r w:rsidR="006B441C" w:rsidRPr="004D5DC1">
        <w:rPr>
          <w:rFonts w:eastAsiaTheme="minorHAnsi"/>
          <w:i/>
          <w:color w:val="000000"/>
          <w:sz w:val="22"/>
          <w:szCs w:val="22"/>
          <w:u w:val="single"/>
          <w:lang w:eastAsia="en-US"/>
        </w:rPr>
        <w:t xml:space="preserve">una riduzione degli oneri amministrativi a carico dei beneficiari. </w:t>
      </w:r>
    </w:p>
    <w:p w:rsidR="006B441C" w:rsidRPr="007549B0" w:rsidRDefault="006B441C" w:rsidP="006B441C">
      <w:pPr>
        <w:autoSpaceDE w:val="0"/>
        <w:autoSpaceDN w:val="0"/>
        <w:adjustRightInd w:val="0"/>
        <w:jc w:val="both"/>
        <w:rPr>
          <w:rFonts w:eastAsiaTheme="minorHAnsi"/>
          <w:color w:val="000000"/>
          <w:sz w:val="22"/>
          <w:szCs w:val="22"/>
          <w:lang w:eastAsia="en-US"/>
        </w:rPr>
      </w:pPr>
    </w:p>
    <w:p w:rsidR="006B441C" w:rsidRPr="007549B0" w:rsidRDefault="00B43101" w:rsidP="00F63C92">
      <w:pPr>
        <w:autoSpaceDE w:val="0"/>
        <w:autoSpaceDN w:val="0"/>
        <w:adjustRightInd w:val="0"/>
        <w:spacing w:before="60" w:after="60"/>
        <w:jc w:val="both"/>
        <w:rPr>
          <w:rFonts w:eastAsiaTheme="minorHAnsi"/>
          <w:color w:val="000000"/>
          <w:sz w:val="22"/>
          <w:szCs w:val="22"/>
          <w:lang w:eastAsia="en-US"/>
        </w:rPr>
      </w:pPr>
      <w:r>
        <w:rPr>
          <w:rFonts w:eastAsiaTheme="minorHAnsi"/>
          <w:color w:val="000000"/>
          <w:sz w:val="22"/>
          <w:szCs w:val="22"/>
          <w:lang w:eastAsia="en-US"/>
        </w:rPr>
        <w:t>In</w:t>
      </w:r>
      <w:r w:rsidR="003338D2">
        <w:rPr>
          <w:rFonts w:eastAsiaTheme="minorHAnsi"/>
          <w:color w:val="000000"/>
          <w:sz w:val="22"/>
          <w:szCs w:val="22"/>
          <w:lang w:eastAsia="en-US"/>
        </w:rPr>
        <w:t>fine, a riprova del significat</w:t>
      </w:r>
      <w:r w:rsidR="006B441C" w:rsidRPr="007549B0">
        <w:rPr>
          <w:rFonts w:eastAsiaTheme="minorHAnsi"/>
          <w:color w:val="000000"/>
          <w:sz w:val="22"/>
          <w:szCs w:val="22"/>
          <w:lang w:eastAsia="en-US"/>
        </w:rPr>
        <w:t>o innovativo che la nuova programmazione attribuisce al negoziato</w:t>
      </w:r>
      <w:r w:rsidR="003338D2">
        <w:rPr>
          <w:rFonts w:eastAsiaTheme="minorHAnsi"/>
          <w:color w:val="000000"/>
          <w:sz w:val="22"/>
          <w:szCs w:val="22"/>
          <w:lang w:eastAsia="en-US"/>
        </w:rPr>
        <w:t xml:space="preserve"> sull’Accordo di Partenariato</w:t>
      </w:r>
      <w:r w:rsidR="006B441C" w:rsidRPr="007549B0">
        <w:rPr>
          <w:rFonts w:eastAsiaTheme="minorHAnsi"/>
          <w:color w:val="000000"/>
          <w:sz w:val="22"/>
          <w:szCs w:val="22"/>
          <w:lang w:eastAsia="en-US"/>
        </w:rPr>
        <w:t xml:space="preserve">, </w:t>
      </w:r>
      <w:r w:rsidR="003338D2">
        <w:rPr>
          <w:rFonts w:eastAsiaTheme="minorHAnsi"/>
          <w:color w:val="000000"/>
          <w:sz w:val="22"/>
          <w:szCs w:val="22"/>
          <w:lang w:eastAsia="en-US"/>
        </w:rPr>
        <w:t>viene introdotto a carico dell</w:t>
      </w:r>
      <w:r w:rsidR="006B441C" w:rsidRPr="007549B0">
        <w:rPr>
          <w:rFonts w:eastAsiaTheme="minorHAnsi"/>
          <w:color w:val="000000"/>
          <w:sz w:val="22"/>
          <w:szCs w:val="22"/>
          <w:lang w:eastAsia="en-US"/>
        </w:rPr>
        <w:t xml:space="preserve">a Commissione, con un ruolo quindi più stringente e operativo, </w:t>
      </w:r>
      <w:r w:rsidR="003338D2">
        <w:rPr>
          <w:rFonts w:eastAsiaTheme="minorHAnsi"/>
          <w:color w:val="000000"/>
          <w:sz w:val="22"/>
          <w:szCs w:val="22"/>
          <w:lang w:eastAsia="en-US"/>
        </w:rPr>
        <w:t>l’adempimento di redigere una</w:t>
      </w:r>
      <w:r w:rsidR="006B441C" w:rsidRPr="007549B0">
        <w:rPr>
          <w:rFonts w:eastAsiaTheme="minorHAnsi"/>
          <w:color w:val="000000"/>
          <w:sz w:val="22"/>
          <w:szCs w:val="22"/>
          <w:lang w:eastAsia="en-US"/>
        </w:rPr>
        <w:t xml:space="preserve"> </w:t>
      </w:r>
      <w:r w:rsidR="006B441C" w:rsidRPr="007549B0">
        <w:rPr>
          <w:rFonts w:eastAsiaTheme="minorHAnsi"/>
          <w:i/>
          <w:color w:val="000000"/>
          <w:sz w:val="22"/>
          <w:szCs w:val="22"/>
          <w:lang w:eastAsia="en-US"/>
        </w:rPr>
        <w:t>relazione sui risultati dei negoziati</w:t>
      </w:r>
      <w:r w:rsidR="006B441C" w:rsidRPr="007549B0">
        <w:rPr>
          <w:rFonts w:eastAsiaTheme="minorHAnsi"/>
          <w:color w:val="000000"/>
          <w:sz w:val="22"/>
          <w:szCs w:val="22"/>
          <w:lang w:eastAsia="en-US"/>
        </w:rPr>
        <w:t xml:space="preserve"> relativi agli accordi e ai programmi di partenariato, compreso un </w:t>
      </w:r>
      <w:r w:rsidR="006B441C" w:rsidRPr="007549B0">
        <w:rPr>
          <w:rFonts w:eastAsiaTheme="minorHAnsi"/>
          <w:i/>
          <w:color w:val="000000"/>
          <w:sz w:val="22"/>
          <w:szCs w:val="22"/>
          <w:lang w:eastAsia="en-US"/>
        </w:rPr>
        <w:t>quadro di sintesi delle questioni chiave</w:t>
      </w:r>
      <w:r w:rsidR="00F02F39">
        <w:rPr>
          <w:rFonts w:eastAsiaTheme="minorHAnsi"/>
          <w:color w:val="000000"/>
          <w:sz w:val="22"/>
          <w:szCs w:val="22"/>
          <w:lang w:eastAsia="en-US"/>
        </w:rPr>
        <w:t xml:space="preserve">, per </w:t>
      </w:r>
      <w:r w:rsidR="006B441C" w:rsidRPr="007549B0">
        <w:rPr>
          <w:rFonts w:eastAsiaTheme="minorHAnsi"/>
          <w:color w:val="000000"/>
          <w:sz w:val="22"/>
          <w:szCs w:val="22"/>
          <w:lang w:eastAsia="en-US"/>
        </w:rPr>
        <w:t>ciascuno Stato membro, entro il 31 dicembre 2015. Tale relazione è notificata contestualmente al Parlamento europeo, al Consiglio, al Comitato economico e sociale europeo e al Comitato delle regioni; per il QSN tale passaggio è del tutto inesistente nell’attuale programmazione.</w:t>
      </w:r>
    </w:p>
    <w:p w:rsidR="006B441C" w:rsidRDefault="006B441C" w:rsidP="00283B85">
      <w:pPr>
        <w:jc w:val="both"/>
        <w:rPr>
          <w:b/>
          <w:i/>
          <w:sz w:val="22"/>
          <w:szCs w:val="22"/>
        </w:rPr>
      </w:pPr>
    </w:p>
    <w:p w:rsidR="008B31D1" w:rsidRPr="00DE0C90" w:rsidRDefault="008B31D1" w:rsidP="00283B85">
      <w:pPr>
        <w:jc w:val="both"/>
        <w:rPr>
          <w:b/>
          <w:sz w:val="22"/>
          <w:szCs w:val="22"/>
        </w:rPr>
      </w:pPr>
      <w:r w:rsidRPr="00DE0C90">
        <w:rPr>
          <w:b/>
          <w:sz w:val="22"/>
          <w:szCs w:val="22"/>
        </w:rPr>
        <w:t>Modifica dell’Accordo</w:t>
      </w:r>
      <w:r w:rsidR="0067480A" w:rsidRPr="00DE0C90">
        <w:rPr>
          <w:b/>
          <w:sz w:val="22"/>
          <w:szCs w:val="22"/>
        </w:rPr>
        <w:t xml:space="preserve"> e del QSN</w:t>
      </w:r>
    </w:p>
    <w:p w:rsidR="00DE0C90" w:rsidRPr="00DE0C90" w:rsidRDefault="00DE0C90" w:rsidP="00283B85">
      <w:pPr>
        <w:jc w:val="both"/>
        <w:rPr>
          <w:b/>
          <w:i/>
          <w:sz w:val="22"/>
          <w:szCs w:val="22"/>
          <w:u w:val="single"/>
        </w:rPr>
      </w:pPr>
    </w:p>
    <w:p w:rsidR="004D5DC1" w:rsidRDefault="00EA01BF" w:rsidP="00F63C92">
      <w:pPr>
        <w:autoSpaceDE w:val="0"/>
        <w:autoSpaceDN w:val="0"/>
        <w:adjustRightInd w:val="0"/>
        <w:spacing w:before="60" w:after="60"/>
        <w:jc w:val="both"/>
        <w:rPr>
          <w:rFonts w:eastAsiaTheme="minorHAnsi"/>
          <w:color w:val="000000"/>
          <w:sz w:val="22"/>
          <w:szCs w:val="22"/>
          <w:lang w:eastAsia="en-US"/>
        </w:rPr>
      </w:pPr>
      <w:r w:rsidRPr="003338D2">
        <w:rPr>
          <w:sz w:val="22"/>
          <w:szCs w:val="22"/>
        </w:rPr>
        <w:t>N</w:t>
      </w:r>
      <w:r w:rsidR="0067480A" w:rsidRPr="003338D2">
        <w:rPr>
          <w:sz w:val="22"/>
          <w:szCs w:val="22"/>
        </w:rPr>
        <w:t xml:space="preserve">essuna procedura è prevista nel Regolamento </w:t>
      </w:r>
      <w:r w:rsidR="002E0F01" w:rsidRPr="003338D2">
        <w:rPr>
          <w:sz w:val="22"/>
          <w:szCs w:val="22"/>
        </w:rPr>
        <w:t xml:space="preserve">generale </w:t>
      </w:r>
      <w:r w:rsidR="0067480A" w:rsidRPr="003338D2">
        <w:rPr>
          <w:sz w:val="22"/>
          <w:szCs w:val="22"/>
        </w:rPr>
        <w:t>dell’attuale programmazione per eventuali modifiche del QSN.</w:t>
      </w:r>
      <w:r w:rsidRPr="007549B0">
        <w:rPr>
          <w:i/>
          <w:sz w:val="22"/>
          <w:szCs w:val="22"/>
        </w:rPr>
        <w:t xml:space="preserve"> </w:t>
      </w:r>
      <w:r w:rsidRPr="007549B0">
        <w:rPr>
          <w:sz w:val="22"/>
          <w:szCs w:val="22"/>
        </w:rPr>
        <w:t xml:space="preserve">Il </w:t>
      </w:r>
      <w:r w:rsidR="00725AFE">
        <w:rPr>
          <w:sz w:val="22"/>
          <w:szCs w:val="22"/>
        </w:rPr>
        <w:t>RDC</w:t>
      </w:r>
      <w:r w:rsidRPr="007549B0">
        <w:rPr>
          <w:sz w:val="22"/>
          <w:szCs w:val="22"/>
        </w:rPr>
        <w:t xml:space="preserve"> prevede, invece, che </w:t>
      </w:r>
      <w:r w:rsidRPr="002F0206">
        <w:rPr>
          <w:b/>
          <w:sz w:val="22"/>
          <w:szCs w:val="22"/>
        </w:rPr>
        <w:t xml:space="preserve">qualora </w:t>
      </w:r>
      <w:r w:rsidR="008B31D1" w:rsidRPr="002F0206">
        <w:rPr>
          <w:rFonts w:eastAsiaTheme="minorHAnsi"/>
          <w:b/>
          <w:color w:val="000000"/>
          <w:sz w:val="22"/>
          <w:szCs w:val="22"/>
          <w:lang w:eastAsia="en-US"/>
        </w:rPr>
        <w:t xml:space="preserve">uno Stato membro </w:t>
      </w:r>
      <w:r w:rsidRPr="002F0206">
        <w:rPr>
          <w:rFonts w:eastAsiaTheme="minorHAnsi"/>
          <w:b/>
          <w:color w:val="000000"/>
          <w:sz w:val="22"/>
          <w:szCs w:val="22"/>
          <w:lang w:eastAsia="en-US"/>
        </w:rPr>
        <w:t>dovesse proporre</w:t>
      </w:r>
      <w:r w:rsidR="008B31D1" w:rsidRPr="002F0206">
        <w:rPr>
          <w:rFonts w:eastAsiaTheme="minorHAnsi"/>
          <w:b/>
          <w:color w:val="000000"/>
          <w:sz w:val="22"/>
          <w:szCs w:val="22"/>
          <w:lang w:eastAsia="en-US"/>
        </w:rPr>
        <w:t xml:space="preserve"> un</w:t>
      </w:r>
      <w:r w:rsidR="00725AFE" w:rsidRPr="002F0206">
        <w:rPr>
          <w:rFonts w:eastAsiaTheme="minorHAnsi"/>
          <w:b/>
          <w:color w:val="000000"/>
          <w:sz w:val="22"/>
          <w:szCs w:val="22"/>
          <w:lang w:eastAsia="en-US"/>
        </w:rPr>
        <w:t>a modifica</w:t>
      </w:r>
      <w:r w:rsidR="00725AFE">
        <w:rPr>
          <w:rFonts w:eastAsiaTheme="minorHAnsi"/>
          <w:color w:val="000000"/>
          <w:sz w:val="22"/>
          <w:szCs w:val="22"/>
          <w:lang w:eastAsia="en-US"/>
        </w:rPr>
        <w:t xml:space="preserve"> degli elementi </w:t>
      </w:r>
      <w:r w:rsidR="00725AFE" w:rsidRPr="002F0206">
        <w:rPr>
          <w:rFonts w:eastAsiaTheme="minorHAnsi"/>
          <w:b/>
          <w:color w:val="000000"/>
          <w:sz w:val="22"/>
          <w:szCs w:val="22"/>
          <w:lang w:eastAsia="en-US"/>
        </w:rPr>
        <w:t>dell'Accordo di P</w:t>
      </w:r>
      <w:r w:rsidR="008B31D1" w:rsidRPr="002F0206">
        <w:rPr>
          <w:rFonts w:eastAsiaTheme="minorHAnsi"/>
          <w:b/>
          <w:color w:val="000000"/>
          <w:sz w:val="22"/>
          <w:szCs w:val="22"/>
          <w:lang w:eastAsia="en-US"/>
        </w:rPr>
        <w:t>artenariato</w:t>
      </w:r>
      <w:r w:rsidR="008B31D1" w:rsidRPr="007549B0">
        <w:rPr>
          <w:rFonts w:eastAsiaTheme="minorHAnsi"/>
          <w:color w:val="000000"/>
          <w:sz w:val="22"/>
          <w:szCs w:val="22"/>
          <w:lang w:eastAsia="en-US"/>
        </w:rPr>
        <w:t xml:space="preserve"> </w:t>
      </w:r>
      <w:r w:rsidR="00725AFE">
        <w:rPr>
          <w:rFonts w:eastAsiaTheme="minorHAnsi"/>
          <w:color w:val="000000"/>
          <w:sz w:val="22"/>
          <w:szCs w:val="22"/>
          <w:lang w:eastAsia="en-US"/>
        </w:rPr>
        <w:t>(</w:t>
      </w:r>
      <w:r w:rsidR="008B31D1" w:rsidRPr="007549B0">
        <w:rPr>
          <w:rFonts w:eastAsiaTheme="minorHAnsi"/>
          <w:color w:val="000000"/>
          <w:sz w:val="22"/>
          <w:szCs w:val="22"/>
          <w:lang w:eastAsia="en-US"/>
        </w:rPr>
        <w:t>contemplati dalla decisione della Comm</w:t>
      </w:r>
      <w:r w:rsidRPr="007549B0">
        <w:rPr>
          <w:rFonts w:eastAsiaTheme="minorHAnsi"/>
          <w:color w:val="000000"/>
          <w:sz w:val="22"/>
          <w:szCs w:val="22"/>
          <w:lang w:eastAsia="en-US"/>
        </w:rPr>
        <w:t>issione</w:t>
      </w:r>
      <w:r w:rsidR="00725AFE">
        <w:rPr>
          <w:rFonts w:eastAsiaTheme="minorHAnsi"/>
          <w:color w:val="000000"/>
          <w:sz w:val="22"/>
          <w:szCs w:val="22"/>
          <w:lang w:eastAsia="en-US"/>
        </w:rPr>
        <w:t>)</w:t>
      </w:r>
      <w:r w:rsidRPr="007549B0">
        <w:rPr>
          <w:rFonts w:eastAsiaTheme="minorHAnsi"/>
          <w:color w:val="000000"/>
          <w:sz w:val="22"/>
          <w:szCs w:val="22"/>
          <w:lang w:eastAsia="en-US"/>
        </w:rPr>
        <w:t>, la Commissione</w:t>
      </w:r>
      <w:r w:rsidR="00725AFE">
        <w:rPr>
          <w:rFonts w:eastAsiaTheme="minorHAnsi"/>
          <w:color w:val="000000"/>
          <w:sz w:val="22"/>
          <w:szCs w:val="22"/>
          <w:lang w:eastAsia="en-US"/>
        </w:rPr>
        <w:t xml:space="preserve">, entro </w:t>
      </w:r>
      <w:r w:rsidR="00725AFE" w:rsidRPr="002F0206">
        <w:rPr>
          <w:rFonts w:eastAsiaTheme="minorHAnsi"/>
          <w:b/>
          <w:color w:val="000000"/>
          <w:sz w:val="22"/>
          <w:szCs w:val="22"/>
          <w:lang w:eastAsia="en-US"/>
        </w:rPr>
        <w:t>tre mesi dalla data di presentazione di tale proposta</w:t>
      </w:r>
      <w:r w:rsidR="00725AFE">
        <w:rPr>
          <w:rFonts w:eastAsiaTheme="minorHAnsi"/>
          <w:color w:val="000000"/>
          <w:sz w:val="22"/>
          <w:szCs w:val="22"/>
          <w:lang w:eastAsia="en-US"/>
        </w:rPr>
        <w:t xml:space="preserve"> adotterebbe</w:t>
      </w:r>
      <w:r w:rsidR="008B31D1" w:rsidRPr="007549B0">
        <w:rPr>
          <w:rFonts w:eastAsiaTheme="minorHAnsi"/>
          <w:color w:val="000000"/>
          <w:sz w:val="22"/>
          <w:szCs w:val="22"/>
          <w:lang w:eastAsia="en-US"/>
        </w:rPr>
        <w:t xml:space="preserve"> una decisione</w:t>
      </w:r>
      <w:r w:rsidR="003338D2">
        <w:rPr>
          <w:rFonts w:eastAsiaTheme="minorHAnsi"/>
          <w:color w:val="000000"/>
          <w:sz w:val="22"/>
          <w:szCs w:val="22"/>
          <w:lang w:eastAsia="en-US"/>
        </w:rPr>
        <w:t xml:space="preserve"> </w:t>
      </w:r>
      <w:r w:rsidRPr="007549B0">
        <w:rPr>
          <w:rFonts w:eastAsiaTheme="minorHAnsi"/>
          <w:color w:val="000000"/>
          <w:sz w:val="22"/>
          <w:szCs w:val="22"/>
          <w:lang w:eastAsia="en-US"/>
        </w:rPr>
        <w:t>con la quale approverebbe</w:t>
      </w:r>
      <w:r w:rsidR="008B31D1" w:rsidRPr="007549B0">
        <w:rPr>
          <w:rFonts w:eastAsiaTheme="minorHAnsi"/>
          <w:color w:val="000000"/>
          <w:sz w:val="22"/>
          <w:szCs w:val="22"/>
          <w:lang w:eastAsia="en-US"/>
        </w:rPr>
        <w:t xml:space="preserve"> la modif</w:t>
      </w:r>
      <w:r w:rsidR="00725AFE">
        <w:rPr>
          <w:rFonts w:eastAsiaTheme="minorHAnsi"/>
          <w:color w:val="000000"/>
          <w:sz w:val="22"/>
          <w:szCs w:val="22"/>
          <w:lang w:eastAsia="en-US"/>
        </w:rPr>
        <w:t>ica (Cfr. art. 16), qualora ovviamente l’esito della valutazione della modifica risult</w:t>
      </w:r>
      <w:r w:rsidR="003338D2">
        <w:rPr>
          <w:rFonts w:eastAsiaTheme="minorHAnsi"/>
          <w:color w:val="000000"/>
          <w:sz w:val="22"/>
          <w:szCs w:val="22"/>
          <w:lang w:eastAsia="en-US"/>
        </w:rPr>
        <w:t>ass</w:t>
      </w:r>
      <w:r w:rsidR="00725AFE">
        <w:rPr>
          <w:rFonts w:eastAsiaTheme="minorHAnsi"/>
          <w:color w:val="000000"/>
          <w:sz w:val="22"/>
          <w:szCs w:val="22"/>
          <w:lang w:eastAsia="en-US"/>
        </w:rPr>
        <w:t>e positivo.</w:t>
      </w:r>
      <w:r w:rsidR="008B31D1" w:rsidRPr="007549B0">
        <w:rPr>
          <w:rFonts w:eastAsiaTheme="minorHAnsi"/>
          <w:color w:val="000000"/>
          <w:sz w:val="22"/>
          <w:szCs w:val="22"/>
          <w:lang w:eastAsia="en-US"/>
        </w:rPr>
        <w:t xml:space="preserve"> </w:t>
      </w:r>
    </w:p>
    <w:p w:rsidR="005E491A" w:rsidRPr="007549B0" w:rsidRDefault="003338D2" w:rsidP="00283B85">
      <w:pPr>
        <w:autoSpaceDE w:val="0"/>
        <w:autoSpaceDN w:val="0"/>
        <w:adjustRightInd w:val="0"/>
        <w:spacing w:before="60" w:after="60"/>
        <w:jc w:val="both"/>
        <w:rPr>
          <w:rFonts w:eastAsiaTheme="minorHAnsi"/>
          <w:color w:val="000000"/>
          <w:sz w:val="22"/>
          <w:szCs w:val="22"/>
          <w:lang w:eastAsia="en-US"/>
        </w:rPr>
      </w:pPr>
      <w:r>
        <w:rPr>
          <w:rFonts w:eastAsiaTheme="minorHAnsi"/>
          <w:color w:val="000000"/>
          <w:sz w:val="22"/>
          <w:szCs w:val="22"/>
          <w:lang w:eastAsia="en-US"/>
        </w:rPr>
        <w:t xml:space="preserve">Nell’ambito delle misure collegate ad una sana </w:t>
      </w:r>
      <w:proofErr w:type="spellStart"/>
      <w:r w:rsidRPr="00F021EC">
        <w:rPr>
          <w:rFonts w:eastAsiaTheme="minorHAnsi"/>
          <w:i/>
          <w:color w:val="000000"/>
          <w:sz w:val="22"/>
          <w:szCs w:val="22"/>
          <w:lang w:eastAsia="en-US"/>
        </w:rPr>
        <w:t>governance</w:t>
      </w:r>
      <w:proofErr w:type="spellEnd"/>
      <w:r>
        <w:rPr>
          <w:rFonts w:eastAsiaTheme="minorHAnsi"/>
          <w:color w:val="000000"/>
          <w:sz w:val="22"/>
          <w:szCs w:val="22"/>
          <w:lang w:eastAsia="en-US"/>
        </w:rPr>
        <w:t xml:space="preserve"> economica (le </w:t>
      </w:r>
      <w:r w:rsidR="00B43101">
        <w:rPr>
          <w:rFonts w:eastAsiaTheme="minorHAnsi"/>
          <w:color w:val="000000"/>
          <w:sz w:val="22"/>
          <w:szCs w:val="22"/>
          <w:lang w:eastAsia="en-US"/>
        </w:rPr>
        <w:t>c.d. condi</w:t>
      </w:r>
      <w:r>
        <w:rPr>
          <w:rFonts w:eastAsiaTheme="minorHAnsi"/>
          <w:color w:val="000000"/>
          <w:sz w:val="22"/>
          <w:szCs w:val="22"/>
          <w:lang w:eastAsia="en-US"/>
        </w:rPr>
        <w:t>z</w:t>
      </w:r>
      <w:r w:rsidR="00B43101">
        <w:rPr>
          <w:rFonts w:eastAsiaTheme="minorHAnsi"/>
          <w:color w:val="000000"/>
          <w:sz w:val="22"/>
          <w:szCs w:val="22"/>
          <w:lang w:eastAsia="en-US"/>
        </w:rPr>
        <w:t>i</w:t>
      </w:r>
      <w:r>
        <w:rPr>
          <w:rFonts w:eastAsiaTheme="minorHAnsi"/>
          <w:color w:val="000000"/>
          <w:sz w:val="22"/>
          <w:szCs w:val="22"/>
          <w:lang w:eastAsia="en-US"/>
        </w:rPr>
        <w:t xml:space="preserve">onalità macroeconomiche) </w:t>
      </w:r>
      <w:r w:rsidR="005E491A" w:rsidRPr="002F0206">
        <w:rPr>
          <w:rFonts w:eastAsiaTheme="minorHAnsi"/>
          <w:b/>
          <w:color w:val="000000"/>
          <w:sz w:val="22"/>
          <w:szCs w:val="22"/>
          <w:lang w:eastAsia="en-US"/>
        </w:rPr>
        <w:t xml:space="preserve">modifiche all’Accordo di Partenariato possono </w:t>
      </w:r>
      <w:r w:rsidR="002F0206" w:rsidRPr="002F0206">
        <w:rPr>
          <w:rFonts w:eastAsiaTheme="minorHAnsi"/>
          <w:b/>
          <w:color w:val="000000"/>
          <w:sz w:val="22"/>
          <w:szCs w:val="22"/>
          <w:lang w:eastAsia="en-US"/>
        </w:rPr>
        <w:t xml:space="preserve">essere richieste </w:t>
      </w:r>
      <w:r w:rsidR="005E491A" w:rsidRPr="002F0206">
        <w:rPr>
          <w:rFonts w:eastAsiaTheme="minorHAnsi"/>
          <w:b/>
          <w:color w:val="000000"/>
          <w:sz w:val="22"/>
          <w:szCs w:val="22"/>
          <w:lang w:eastAsia="en-US"/>
        </w:rPr>
        <w:t>d</w:t>
      </w:r>
      <w:r w:rsidR="002F0206" w:rsidRPr="002F0206">
        <w:rPr>
          <w:rFonts w:eastAsiaTheme="minorHAnsi"/>
          <w:b/>
          <w:color w:val="000000"/>
          <w:sz w:val="22"/>
          <w:szCs w:val="22"/>
          <w:lang w:eastAsia="en-US"/>
        </w:rPr>
        <w:t>alla Commissione</w:t>
      </w:r>
      <w:r w:rsidR="002F0206">
        <w:rPr>
          <w:rFonts w:eastAsiaTheme="minorHAnsi"/>
          <w:color w:val="000000"/>
          <w:sz w:val="22"/>
          <w:szCs w:val="22"/>
          <w:lang w:eastAsia="en-US"/>
        </w:rPr>
        <w:t>;</w:t>
      </w:r>
      <w:r w:rsidR="005E491A" w:rsidRPr="007549B0">
        <w:rPr>
          <w:rFonts w:eastAsiaTheme="minorHAnsi"/>
          <w:color w:val="000000"/>
          <w:sz w:val="22"/>
          <w:szCs w:val="22"/>
          <w:lang w:eastAsia="en-US"/>
        </w:rPr>
        <w:t xml:space="preserve"> infatti essa può </w:t>
      </w:r>
      <w:r w:rsidR="004A2BA5" w:rsidRPr="007549B0">
        <w:rPr>
          <w:rFonts w:eastAsiaTheme="minorHAnsi"/>
          <w:color w:val="000000"/>
          <w:sz w:val="22"/>
          <w:szCs w:val="22"/>
          <w:lang w:eastAsia="en-US"/>
        </w:rPr>
        <w:t xml:space="preserve">effettuare una richiesta motivata per </w:t>
      </w:r>
      <w:r w:rsidR="005E491A" w:rsidRPr="007549B0">
        <w:rPr>
          <w:rFonts w:eastAsiaTheme="minorHAnsi"/>
          <w:color w:val="000000"/>
          <w:sz w:val="22"/>
          <w:szCs w:val="22"/>
          <w:lang w:eastAsia="en-US"/>
        </w:rPr>
        <w:t>rivedere e proporre di modificare l’Accordo di Partenariato e i programmi rilevanti, per sostenere l’attuazione di Raccomandazioni del Consiglio, per massimizzare l’impatto sulla crescita e la competitività dei fondi SIE.</w:t>
      </w:r>
      <w:r w:rsidR="004A2BA5" w:rsidRPr="007549B0">
        <w:rPr>
          <w:rFonts w:eastAsiaTheme="minorHAnsi"/>
          <w:color w:val="000000"/>
          <w:sz w:val="22"/>
          <w:szCs w:val="22"/>
          <w:lang w:eastAsia="en-US"/>
        </w:rPr>
        <w:t xml:space="preserve"> </w:t>
      </w:r>
      <w:r w:rsidR="004A2BA5" w:rsidRPr="002F0206">
        <w:rPr>
          <w:rFonts w:eastAsiaTheme="minorHAnsi"/>
          <w:b/>
          <w:color w:val="000000"/>
          <w:sz w:val="22"/>
          <w:szCs w:val="22"/>
          <w:lang w:eastAsia="en-US"/>
        </w:rPr>
        <w:t>La richiesta è formulata non prima del 2015</w:t>
      </w:r>
      <w:r w:rsidR="004A2BA5" w:rsidRPr="007549B0">
        <w:rPr>
          <w:rFonts w:eastAsiaTheme="minorHAnsi"/>
          <w:color w:val="000000"/>
          <w:sz w:val="22"/>
          <w:szCs w:val="22"/>
          <w:lang w:eastAsia="en-US"/>
        </w:rPr>
        <w:t xml:space="preserve"> o dopo il 2019 e non </w:t>
      </w:r>
      <w:r w:rsidR="00725AFE">
        <w:rPr>
          <w:rFonts w:eastAsiaTheme="minorHAnsi"/>
          <w:color w:val="000000"/>
          <w:sz w:val="22"/>
          <w:szCs w:val="22"/>
          <w:lang w:eastAsia="en-US"/>
        </w:rPr>
        <w:t xml:space="preserve">può </w:t>
      </w:r>
      <w:r w:rsidR="004A2BA5" w:rsidRPr="007549B0">
        <w:rPr>
          <w:rFonts w:eastAsiaTheme="minorHAnsi"/>
          <w:color w:val="000000"/>
          <w:sz w:val="22"/>
          <w:szCs w:val="22"/>
          <w:lang w:eastAsia="en-US"/>
        </w:rPr>
        <w:t>riguarda</w:t>
      </w:r>
      <w:r w:rsidR="00725AFE">
        <w:rPr>
          <w:rFonts w:eastAsiaTheme="minorHAnsi"/>
          <w:color w:val="000000"/>
          <w:sz w:val="22"/>
          <w:szCs w:val="22"/>
          <w:lang w:eastAsia="en-US"/>
        </w:rPr>
        <w:t>re</w:t>
      </w:r>
      <w:r w:rsidR="004A2BA5" w:rsidRPr="007549B0">
        <w:rPr>
          <w:rFonts w:eastAsiaTheme="minorHAnsi"/>
          <w:color w:val="000000"/>
          <w:sz w:val="22"/>
          <w:szCs w:val="22"/>
          <w:lang w:eastAsia="en-US"/>
        </w:rPr>
        <w:t xml:space="preserve"> gli stessi programmi in due anni consecutivi. Entro due mesi dal ricevimento lo </w:t>
      </w:r>
      <w:r w:rsidR="004A2BA5" w:rsidRPr="002F0206">
        <w:rPr>
          <w:rFonts w:eastAsiaTheme="minorHAnsi"/>
          <w:b/>
          <w:color w:val="000000"/>
          <w:sz w:val="22"/>
          <w:szCs w:val="22"/>
          <w:lang w:eastAsia="en-US"/>
        </w:rPr>
        <w:lastRenderedPageBreak/>
        <w:t>Stato Membro deve trasmettere la sua risposta definendo le modifiche all’Accordo di Partenariato</w:t>
      </w:r>
      <w:r w:rsidR="004A2BA5" w:rsidRPr="007549B0">
        <w:rPr>
          <w:rFonts w:eastAsiaTheme="minorHAnsi"/>
          <w:color w:val="000000"/>
          <w:sz w:val="22"/>
          <w:szCs w:val="22"/>
          <w:lang w:eastAsia="en-US"/>
        </w:rPr>
        <w:t xml:space="preserve"> e nei programmi, i motivi, gli effetti delle modifiche sull’attuazione. Entro un mese, se del caso, la Commissione effettua ulteriori osservazioni. Se la Commissione non ha presentato osservazioni o se essa ritiene che le osservazioni formulate siano state debitamente recepite, essa adotta senza indugio una decisione di approvazione delle modifiche all'Accordo di partenariato e ai programmi rilevanti e in ogni caso entro tre mesi dalla loro presentazione da parte dello Stato membro</w:t>
      </w:r>
      <w:r w:rsidR="00725AFE">
        <w:rPr>
          <w:rFonts w:eastAsiaTheme="minorHAnsi"/>
          <w:color w:val="000000"/>
          <w:sz w:val="22"/>
          <w:szCs w:val="22"/>
          <w:lang w:eastAsia="en-US"/>
        </w:rPr>
        <w:t xml:space="preserve"> (Cfr. art. 23)</w:t>
      </w:r>
      <w:r w:rsidR="004A2BA5" w:rsidRPr="007549B0">
        <w:rPr>
          <w:rFonts w:eastAsiaTheme="minorHAnsi"/>
          <w:color w:val="000000"/>
          <w:sz w:val="22"/>
          <w:szCs w:val="22"/>
          <w:lang w:eastAsia="en-US"/>
        </w:rPr>
        <w:t>.</w:t>
      </w:r>
    </w:p>
    <w:p w:rsidR="004A2BA5" w:rsidRPr="007549B0" w:rsidRDefault="004A2BA5" w:rsidP="00283B85">
      <w:pPr>
        <w:autoSpaceDE w:val="0"/>
        <w:autoSpaceDN w:val="0"/>
        <w:adjustRightInd w:val="0"/>
        <w:spacing w:before="60" w:after="60"/>
        <w:jc w:val="both"/>
        <w:rPr>
          <w:rFonts w:eastAsiaTheme="minorHAnsi"/>
          <w:color w:val="000000"/>
          <w:sz w:val="22"/>
          <w:szCs w:val="22"/>
          <w:lang w:eastAsia="en-US"/>
        </w:rPr>
      </w:pPr>
    </w:p>
    <w:p w:rsidR="00385678" w:rsidRPr="00AC0004" w:rsidRDefault="00AC0004" w:rsidP="004E1567">
      <w:pPr>
        <w:autoSpaceDE w:val="0"/>
        <w:autoSpaceDN w:val="0"/>
        <w:adjustRightInd w:val="0"/>
        <w:spacing w:before="60" w:after="60"/>
        <w:jc w:val="both"/>
        <w:rPr>
          <w:rFonts w:eastAsiaTheme="minorHAnsi"/>
          <w:b/>
          <w:sz w:val="22"/>
          <w:szCs w:val="22"/>
          <w:lang w:eastAsia="en-US"/>
        </w:rPr>
      </w:pPr>
      <w:r w:rsidRPr="00AC0004">
        <w:rPr>
          <w:b/>
          <w:sz w:val="22"/>
          <w:szCs w:val="22"/>
        </w:rPr>
        <w:t>Relazioni sull’attuazione</w:t>
      </w:r>
    </w:p>
    <w:p w:rsidR="00A811AC" w:rsidRDefault="00A811AC" w:rsidP="00B23DE8">
      <w:pPr>
        <w:autoSpaceDE w:val="0"/>
        <w:autoSpaceDN w:val="0"/>
        <w:adjustRightInd w:val="0"/>
        <w:ind w:firstLine="708"/>
        <w:jc w:val="both"/>
        <w:rPr>
          <w:sz w:val="22"/>
          <w:szCs w:val="22"/>
        </w:rPr>
      </w:pPr>
    </w:p>
    <w:p w:rsidR="00A60B4B" w:rsidRPr="004A07D1" w:rsidRDefault="0038170B" w:rsidP="00F63C92">
      <w:pPr>
        <w:autoSpaceDE w:val="0"/>
        <w:autoSpaceDN w:val="0"/>
        <w:adjustRightInd w:val="0"/>
        <w:jc w:val="both"/>
        <w:rPr>
          <w:b/>
          <w:sz w:val="22"/>
          <w:szCs w:val="22"/>
        </w:rPr>
      </w:pPr>
      <w:r w:rsidRPr="004A07D1">
        <w:rPr>
          <w:sz w:val="22"/>
          <w:szCs w:val="22"/>
        </w:rPr>
        <w:t>Da</w:t>
      </w:r>
      <w:r w:rsidR="00A60B4B" w:rsidRPr="004A07D1">
        <w:rPr>
          <w:sz w:val="22"/>
          <w:szCs w:val="22"/>
        </w:rPr>
        <w:t xml:space="preserve"> una disamina dei dettati regolamentari riferiti alla </w:t>
      </w:r>
      <w:r w:rsidR="00A60B4B" w:rsidRPr="00AC0004">
        <w:rPr>
          <w:b/>
          <w:sz w:val="22"/>
          <w:szCs w:val="22"/>
        </w:rPr>
        <w:t>Relazione sullo stato dei lavori</w:t>
      </w:r>
      <w:r w:rsidR="00A60B4B" w:rsidRPr="004A07D1">
        <w:rPr>
          <w:sz w:val="22"/>
          <w:szCs w:val="22"/>
        </w:rPr>
        <w:t xml:space="preserve"> (art. 52 del Reg. UE 1303/2013) e al </w:t>
      </w:r>
      <w:r w:rsidR="00A60B4B" w:rsidRPr="004A07D1">
        <w:rPr>
          <w:b/>
          <w:sz w:val="22"/>
          <w:szCs w:val="22"/>
        </w:rPr>
        <w:t>Rapporto strategico degli Stati membri</w:t>
      </w:r>
      <w:r w:rsidR="00A60B4B" w:rsidRPr="004A07D1">
        <w:rPr>
          <w:sz w:val="22"/>
          <w:szCs w:val="22"/>
        </w:rPr>
        <w:t xml:space="preserve"> (art. 29 del Reg. (CE) 1083/2006)</w:t>
      </w:r>
      <w:r w:rsidRPr="004A07D1">
        <w:rPr>
          <w:sz w:val="22"/>
          <w:szCs w:val="22"/>
        </w:rPr>
        <w:t>, anche nella fase del susseguirsi dell’evoluzione strategica della definizione della programmazione, emerge una sostanziale e netta differenza di approccio, dove nel Rapporto Strategico degli Stati membri non devono essere specificati elementi eccessivamente prescrittivi come per la Relazione sullo stato dei lavori della futura programmazione, da cui si evince, a riconferma di quanto fin qui esposto, che trattasi di una</w:t>
      </w:r>
      <w:r w:rsidRPr="004A07D1">
        <w:rPr>
          <w:b/>
          <w:sz w:val="22"/>
          <w:szCs w:val="22"/>
        </w:rPr>
        <w:t xml:space="preserve"> relazione sullo stato dei lavori concernente l’esecuzione dell’Accordo di partenariato.</w:t>
      </w:r>
    </w:p>
    <w:p w:rsidR="0038170B" w:rsidRPr="004A07D1" w:rsidRDefault="0038170B" w:rsidP="00283B85">
      <w:pPr>
        <w:autoSpaceDE w:val="0"/>
        <w:autoSpaceDN w:val="0"/>
        <w:adjustRightInd w:val="0"/>
        <w:jc w:val="both"/>
        <w:rPr>
          <w:sz w:val="22"/>
          <w:szCs w:val="22"/>
          <w:u w:val="single"/>
        </w:rPr>
      </w:pPr>
    </w:p>
    <w:p w:rsidR="00F0467A" w:rsidRPr="004A07D1" w:rsidRDefault="0038170B" w:rsidP="00F63C92">
      <w:pPr>
        <w:autoSpaceDE w:val="0"/>
        <w:autoSpaceDN w:val="0"/>
        <w:adjustRightInd w:val="0"/>
        <w:jc w:val="both"/>
        <w:rPr>
          <w:sz w:val="22"/>
          <w:szCs w:val="22"/>
        </w:rPr>
      </w:pPr>
      <w:r w:rsidRPr="004A07D1">
        <w:rPr>
          <w:sz w:val="22"/>
          <w:szCs w:val="22"/>
        </w:rPr>
        <w:t>Il Rapporto Strategico degli Stati membri</w:t>
      </w:r>
      <w:r w:rsidR="00F0467A" w:rsidRPr="004A07D1">
        <w:rPr>
          <w:sz w:val="22"/>
          <w:szCs w:val="22"/>
        </w:rPr>
        <w:t xml:space="preserve">, dell’attuale programmazione, </w:t>
      </w:r>
      <w:r w:rsidRPr="004A07D1">
        <w:rPr>
          <w:sz w:val="22"/>
          <w:szCs w:val="22"/>
        </w:rPr>
        <w:t>è un rapporto sintetico recante informazioni sul contributo dei pr</w:t>
      </w:r>
      <w:r w:rsidR="00F0467A" w:rsidRPr="004A07D1">
        <w:rPr>
          <w:sz w:val="22"/>
          <w:szCs w:val="22"/>
        </w:rPr>
        <w:t>ogrammi cofinanziati dai fondi alla realizzazione degli obiettivi della politica di coesione; all’attuazione delle priorità secondo quant</w:t>
      </w:r>
      <w:r w:rsidR="004A07D1" w:rsidRPr="004A07D1">
        <w:rPr>
          <w:sz w:val="22"/>
          <w:szCs w:val="22"/>
        </w:rPr>
        <w:t xml:space="preserve">o previsto dal OSCC e dal QSN. </w:t>
      </w:r>
      <w:r w:rsidR="00F0467A" w:rsidRPr="004A07D1">
        <w:rPr>
          <w:sz w:val="22"/>
          <w:szCs w:val="22"/>
        </w:rPr>
        <w:t xml:space="preserve">Ciascuno Stato membro </w:t>
      </w:r>
      <w:r w:rsidR="00F7430A" w:rsidRPr="004A07D1">
        <w:rPr>
          <w:sz w:val="22"/>
          <w:szCs w:val="22"/>
        </w:rPr>
        <w:t>ha definito</w:t>
      </w:r>
      <w:r w:rsidR="00F0467A" w:rsidRPr="004A07D1">
        <w:rPr>
          <w:sz w:val="22"/>
          <w:szCs w:val="22"/>
        </w:rPr>
        <w:t xml:space="preserve">, </w:t>
      </w:r>
      <w:r w:rsidR="00F7430A" w:rsidRPr="004A07D1">
        <w:rPr>
          <w:sz w:val="22"/>
          <w:szCs w:val="22"/>
        </w:rPr>
        <w:t>“</w:t>
      </w:r>
      <w:r w:rsidR="00F0467A" w:rsidRPr="004A07D1">
        <w:rPr>
          <w:sz w:val="22"/>
          <w:szCs w:val="22"/>
        </w:rPr>
        <w:t xml:space="preserve">come meglio </w:t>
      </w:r>
      <w:r w:rsidR="00F7430A" w:rsidRPr="004A07D1">
        <w:rPr>
          <w:sz w:val="22"/>
          <w:szCs w:val="22"/>
        </w:rPr>
        <w:t>ha creduto”</w:t>
      </w:r>
      <w:r w:rsidR="00F0467A" w:rsidRPr="004A07D1">
        <w:rPr>
          <w:sz w:val="22"/>
          <w:szCs w:val="22"/>
        </w:rPr>
        <w:t>, tutto ciò, allo scopo di individuare la situazione e le tendenze socioeconomiche, i risultati, le sfide e le prospettive future per quanto riguarda l'attuazio</w:t>
      </w:r>
      <w:r w:rsidR="00A93DEE" w:rsidRPr="004A07D1">
        <w:rPr>
          <w:sz w:val="22"/>
          <w:szCs w:val="22"/>
        </w:rPr>
        <w:t xml:space="preserve">ne della strategia concordata, </w:t>
      </w:r>
      <w:r w:rsidR="00F7430A" w:rsidRPr="004A07D1">
        <w:rPr>
          <w:sz w:val="22"/>
          <w:szCs w:val="22"/>
        </w:rPr>
        <w:t xml:space="preserve">compresi gli </w:t>
      </w:r>
      <w:r w:rsidR="00A93DEE" w:rsidRPr="004A07D1">
        <w:rPr>
          <w:sz w:val="22"/>
          <w:szCs w:val="22"/>
        </w:rPr>
        <w:t>esempi di buone prassi.</w:t>
      </w:r>
      <w:r w:rsidR="00F0467A" w:rsidRPr="004A07D1">
        <w:rPr>
          <w:sz w:val="22"/>
          <w:szCs w:val="22"/>
        </w:rPr>
        <w:t xml:space="preserve"> </w:t>
      </w:r>
    </w:p>
    <w:p w:rsidR="00A93DEE" w:rsidRPr="00AC0004" w:rsidRDefault="00F0467A" w:rsidP="00F63C92">
      <w:pPr>
        <w:autoSpaceDE w:val="0"/>
        <w:autoSpaceDN w:val="0"/>
        <w:adjustRightInd w:val="0"/>
        <w:spacing w:before="60" w:after="60"/>
        <w:jc w:val="both"/>
        <w:rPr>
          <w:b/>
          <w:sz w:val="22"/>
          <w:szCs w:val="22"/>
        </w:rPr>
      </w:pPr>
      <w:r w:rsidRPr="004A07D1">
        <w:rPr>
          <w:b/>
          <w:sz w:val="22"/>
          <w:szCs w:val="22"/>
        </w:rPr>
        <w:t>La Relazione sullo stato dei lavori della futura programmazione non contiene solo informazioni ma anche valutazioni ben identificate</w:t>
      </w:r>
      <w:r w:rsidRPr="004A07D1">
        <w:rPr>
          <w:sz w:val="22"/>
          <w:szCs w:val="22"/>
        </w:rPr>
        <w:t xml:space="preserve">, </w:t>
      </w:r>
      <w:r w:rsidR="005371E5">
        <w:rPr>
          <w:sz w:val="22"/>
          <w:szCs w:val="22"/>
        </w:rPr>
        <w:t xml:space="preserve">che puntano a verificare </w:t>
      </w:r>
      <w:r w:rsidRPr="005371E5">
        <w:rPr>
          <w:sz w:val="22"/>
          <w:szCs w:val="22"/>
        </w:rPr>
        <w:t>i progressi compiuti nella realizzazione della strategia dell'Unione mediante il contributo dei fondi SIE agli obiettivi tematici selezionati</w:t>
      </w:r>
      <w:r w:rsidR="005371E5">
        <w:rPr>
          <w:sz w:val="22"/>
          <w:szCs w:val="22"/>
        </w:rPr>
        <w:t>, nell</w:t>
      </w:r>
      <w:r w:rsidR="00A93DEE" w:rsidRPr="005371E5">
        <w:rPr>
          <w:sz w:val="22"/>
          <w:szCs w:val="22"/>
        </w:rPr>
        <w:t>’</w:t>
      </w:r>
      <w:r w:rsidR="00A60B4B" w:rsidRPr="005371E5">
        <w:rPr>
          <w:sz w:val="22"/>
          <w:szCs w:val="22"/>
        </w:rPr>
        <w:t>attuazione di meccanismi per garantire il coordinamento tra i fondi SIE e altri strumenti di finanziamento dell'U</w:t>
      </w:r>
      <w:r w:rsidR="005371E5">
        <w:rPr>
          <w:sz w:val="22"/>
          <w:szCs w:val="22"/>
        </w:rPr>
        <w:t xml:space="preserve">nione e nazionali e con la BEI e il </w:t>
      </w:r>
      <w:r w:rsidR="005371E5" w:rsidRPr="005371E5">
        <w:rPr>
          <w:sz w:val="22"/>
          <w:szCs w:val="22"/>
        </w:rPr>
        <w:t>ruolo dei partner nell'esecuzione dell'accordo di partenariato</w:t>
      </w:r>
      <w:r w:rsidR="005371E5">
        <w:rPr>
          <w:sz w:val="22"/>
          <w:szCs w:val="22"/>
        </w:rPr>
        <w:t xml:space="preserve">, </w:t>
      </w:r>
      <w:r w:rsidR="00F02F39" w:rsidRPr="00AC0004">
        <w:rPr>
          <w:b/>
          <w:sz w:val="22"/>
          <w:szCs w:val="22"/>
        </w:rPr>
        <w:t xml:space="preserve">insomma </w:t>
      </w:r>
      <w:r w:rsidR="004A07D1" w:rsidRPr="00AC0004">
        <w:rPr>
          <w:b/>
          <w:sz w:val="22"/>
          <w:szCs w:val="22"/>
        </w:rPr>
        <w:t>relazionando sull’attuazione di quanto disposto nell’</w:t>
      </w:r>
      <w:proofErr w:type="spellStart"/>
      <w:r w:rsidR="004A07D1" w:rsidRPr="00AC0004">
        <w:rPr>
          <w:b/>
          <w:sz w:val="22"/>
          <w:szCs w:val="22"/>
        </w:rPr>
        <w:t>AdP</w:t>
      </w:r>
      <w:proofErr w:type="spellEnd"/>
      <w:r w:rsidR="004A07D1" w:rsidRPr="00AC0004">
        <w:rPr>
          <w:b/>
          <w:sz w:val="22"/>
          <w:szCs w:val="22"/>
        </w:rPr>
        <w:t xml:space="preserve"> e approvato dalla Commissione</w:t>
      </w:r>
      <w:r w:rsidR="005371E5" w:rsidRPr="00AC0004">
        <w:rPr>
          <w:rStyle w:val="Rimandonotaapidipagina"/>
          <w:b/>
          <w:sz w:val="22"/>
          <w:szCs w:val="22"/>
        </w:rPr>
        <w:footnoteReference w:id="2"/>
      </w:r>
      <w:r w:rsidR="004A07D1" w:rsidRPr="00AC0004">
        <w:rPr>
          <w:b/>
          <w:sz w:val="22"/>
          <w:szCs w:val="22"/>
        </w:rPr>
        <w:t>.</w:t>
      </w:r>
      <w:r w:rsidR="00A93DEE" w:rsidRPr="00AC0004">
        <w:rPr>
          <w:b/>
          <w:sz w:val="22"/>
          <w:szCs w:val="22"/>
        </w:rPr>
        <w:t xml:space="preserve"> </w:t>
      </w:r>
    </w:p>
    <w:p w:rsidR="00A60B4B" w:rsidRDefault="00A93DEE" w:rsidP="00F63C92">
      <w:pPr>
        <w:autoSpaceDE w:val="0"/>
        <w:autoSpaceDN w:val="0"/>
        <w:adjustRightInd w:val="0"/>
        <w:jc w:val="both"/>
        <w:rPr>
          <w:sz w:val="22"/>
          <w:szCs w:val="22"/>
        </w:rPr>
      </w:pPr>
      <w:r w:rsidRPr="004A07D1">
        <w:rPr>
          <w:sz w:val="22"/>
          <w:szCs w:val="22"/>
        </w:rPr>
        <w:t xml:space="preserve">Il dettato regolamentare della futura programmazione </w:t>
      </w:r>
      <w:r w:rsidR="000367C4" w:rsidRPr="004A07D1">
        <w:rPr>
          <w:sz w:val="22"/>
          <w:szCs w:val="22"/>
        </w:rPr>
        <w:t>prevede, altresì,</w:t>
      </w:r>
      <w:r w:rsidRPr="004A07D1">
        <w:rPr>
          <w:sz w:val="22"/>
          <w:szCs w:val="22"/>
        </w:rPr>
        <w:t xml:space="preserve"> che la Commissione, nel contribuire all’avanzamento della strategia, a partire dall’Accordo di Partenariato, al </w:t>
      </w:r>
      <w:r w:rsidR="00A60B4B" w:rsidRPr="004A07D1">
        <w:rPr>
          <w:sz w:val="22"/>
          <w:szCs w:val="22"/>
        </w:rPr>
        <w:t xml:space="preserve">fine di garantire </w:t>
      </w:r>
      <w:r w:rsidRPr="004A07D1">
        <w:rPr>
          <w:sz w:val="22"/>
          <w:szCs w:val="22"/>
        </w:rPr>
        <w:t xml:space="preserve">agli Stati Membri </w:t>
      </w:r>
      <w:r w:rsidR="00A60B4B" w:rsidRPr="004A07D1">
        <w:rPr>
          <w:b/>
          <w:sz w:val="22"/>
          <w:szCs w:val="22"/>
        </w:rPr>
        <w:t xml:space="preserve">condizioni uniformi </w:t>
      </w:r>
      <w:r w:rsidRPr="004A07D1">
        <w:rPr>
          <w:b/>
          <w:sz w:val="22"/>
          <w:szCs w:val="22"/>
        </w:rPr>
        <w:t xml:space="preserve">nel relazionare sullo stato dei lavori </w:t>
      </w:r>
      <w:r w:rsidR="000367C4" w:rsidRPr="004A07D1">
        <w:rPr>
          <w:b/>
          <w:sz w:val="22"/>
          <w:szCs w:val="22"/>
        </w:rPr>
        <w:t>riguardo al</w:t>
      </w:r>
      <w:r w:rsidRPr="004A07D1">
        <w:rPr>
          <w:b/>
          <w:sz w:val="22"/>
          <w:szCs w:val="22"/>
        </w:rPr>
        <w:t>l’esecuzione dell’Accordo di partenariato</w:t>
      </w:r>
      <w:r w:rsidRPr="004A07D1">
        <w:rPr>
          <w:sz w:val="22"/>
          <w:szCs w:val="22"/>
        </w:rPr>
        <w:t>,</w:t>
      </w:r>
      <w:r w:rsidRPr="004A07D1">
        <w:rPr>
          <w:sz w:val="22"/>
          <w:szCs w:val="22"/>
          <w:u w:val="single"/>
        </w:rPr>
        <w:t xml:space="preserve"> </w:t>
      </w:r>
      <w:r w:rsidRPr="004A07D1">
        <w:rPr>
          <w:sz w:val="22"/>
          <w:szCs w:val="22"/>
        </w:rPr>
        <w:t>adotti</w:t>
      </w:r>
      <w:r w:rsidR="00A60B4B" w:rsidRPr="004A07D1">
        <w:rPr>
          <w:sz w:val="22"/>
          <w:szCs w:val="22"/>
        </w:rPr>
        <w:t xml:space="preserve"> atti di esecuzione stabilendo il </w:t>
      </w:r>
      <w:r w:rsidR="00A60B4B" w:rsidRPr="004A07D1">
        <w:rPr>
          <w:b/>
          <w:sz w:val="22"/>
          <w:szCs w:val="22"/>
        </w:rPr>
        <w:t>modello da utilizzare</w:t>
      </w:r>
      <w:r w:rsidR="00A60B4B" w:rsidRPr="004A07D1">
        <w:rPr>
          <w:sz w:val="22"/>
          <w:szCs w:val="22"/>
        </w:rPr>
        <w:t xml:space="preserve"> per la presentazione della re</w:t>
      </w:r>
      <w:r w:rsidR="00F63C92">
        <w:rPr>
          <w:sz w:val="22"/>
          <w:szCs w:val="22"/>
        </w:rPr>
        <w:t>lazione sullo stato dei lavori.</w:t>
      </w:r>
    </w:p>
    <w:p w:rsidR="00F63C92" w:rsidRDefault="00F63C92" w:rsidP="00F63C92">
      <w:pPr>
        <w:autoSpaceDE w:val="0"/>
        <w:autoSpaceDN w:val="0"/>
        <w:adjustRightInd w:val="0"/>
        <w:spacing w:before="60" w:after="60"/>
        <w:jc w:val="both"/>
        <w:rPr>
          <w:sz w:val="22"/>
          <w:szCs w:val="22"/>
        </w:rPr>
      </w:pPr>
    </w:p>
    <w:p w:rsidR="00333E8A" w:rsidRDefault="00326C91" w:rsidP="00F63C92">
      <w:pPr>
        <w:autoSpaceDE w:val="0"/>
        <w:autoSpaceDN w:val="0"/>
        <w:adjustRightInd w:val="0"/>
        <w:spacing w:before="60" w:after="60"/>
        <w:jc w:val="both"/>
        <w:rPr>
          <w:rFonts w:eastAsiaTheme="minorHAnsi"/>
          <w:color w:val="000000"/>
          <w:sz w:val="20"/>
          <w:szCs w:val="20"/>
          <w:lang w:eastAsia="en-US"/>
        </w:rPr>
      </w:pPr>
      <w:bookmarkStart w:id="0" w:name="_GoBack"/>
      <w:bookmarkEnd w:id="0"/>
      <w:r w:rsidRPr="006A4A74">
        <w:rPr>
          <w:sz w:val="22"/>
          <w:szCs w:val="22"/>
        </w:rPr>
        <w:t>In conclusione, i</w:t>
      </w:r>
      <w:r w:rsidR="002F2808" w:rsidRPr="006A4A74">
        <w:rPr>
          <w:sz w:val="22"/>
          <w:szCs w:val="22"/>
        </w:rPr>
        <w:t>l Quadro Strategico Nazionale contiene una serie di elementi finalizzati ad assicurare la coerenza strategica tra livello nazionale e livello comunitario</w:t>
      </w:r>
      <w:r w:rsidRPr="006A4A74">
        <w:rPr>
          <w:sz w:val="22"/>
          <w:szCs w:val="22"/>
        </w:rPr>
        <w:t>;</w:t>
      </w:r>
      <w:r w:rsidR="002F2808" w:rsidRPr="006A4A74">
        <w:rPr>
          <w:sz w:val="22"/>
          <w:szCs w:val="22"/>
        </w:rPr>
        <w:t xml:space="preserve"> era ancora una sorta di quadro strategico di pertinenza di uno Stato Membro con maggiore discrezionalità. Nella nuova programmazione l’Accordo di Partenariato, invece, non è un semplice quadro di riferimento, ma è il risultato negoziale che identifica disposizioni, segue un quadro logico più articolato e prescrittivo, dove i differenti livelli (europeo, nazionale e regionale e quello della partnership prevista dal regolamento), già conformano le scelte, modellando la strategia negoziata nelle forme di disposizioni più condivise e vincolanti. L’Accordo di Partenariato è il ri</w:t>
      </w:r>
      <w:r w:rsidR="006A4A74" w:rsidRPr="006A4A74">
        <w:rPr>
          <w:sz w:val="22"/>
          <w:szCs w:val="22"/>
        </w:rPr>
        <w:t>sultato strategico dello Stato M</w:t>
      </w:r>
      <w:r w:rsidR="002F2808" w:rsidRPr="006A4A74">
        <w:rPr>
          <w:sz w:val="22"/>
          <w:szCs w:val="22"/>
        </w:rPr>
        <w:t>embro in una Europa più integrata ma che deve affrontare sfide più complesse di quelle che si prefiguravano negli scenari comuni antecedenti al ciclo di programmazione 2007-2013.</w:t>
      </w:r>
    </w:p>
    <w:sectPr w:rsidR="00333E8A" w:rsidSect="00283B8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9AB" w:rsidRDefault="004669AB" w:rsidP="00B64F87">
      <w:r>
        <w:separator/>
      </w:r>
    </w:p>
  </w:endnote>
  <w:endnote w:type="continuationSeparator" w:id="0">
    <w:p w:rsidR="004669AB" w:rsidRDefault="004669AB" w:rsidP="00B6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Segoe UI">
    <w:panose1 w:val="020B0502040204020203"/>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5784601"/>
      <w:docPartObj>
        <w:docPartGallery w:val="Page Numbers (Bottom of Page)"/>
        <w:docPartUnique/>
      </w:docPartObj>
    </w:sdtPr>
    <w:sdtEndPr/>
    <w:sdtContent>
      <w:p w:rsidR="00BC70CE" w:rsidRDefault="00BC70CE">
        <w:pPr>
          <w:pStyle w:val="Pidipagina"/>
          <w:jc w:val="right"/>
        </w:pPr>
        <w:r>
          <w:fldChar w:fldCharType="begin"/>
        </w:r>
        <w:r>
          <w:instrText>PAGE   \* MERGEFORMAT</w:instrText>
        </w:r>
        <w:r>
          <w:fldChar w:fldCharType="separate"/>
        </w:r>
        <w:r w:rsidR="00F63C92">
          <w:rPr>
            <w:noProof/>
          </w:rPr>
          <w:t>11</w:t>
        </w:r>
        <w:r>
          <w:fldChar w:fldCharType="end"/>
        </w:r>
      </w:p>
    </w:sdtContent>
  </w:sdt>
  <w:p w:rsidR="00465E54" w:rsidRPr="00465E54" w:rsidRDefault="00465E54" w:rsidP="00465E54">
    <w:pPr>
      <w:pStyle w:val="Pidipagina"/>
      <w:jc w:val="center"/>
      <w:rPr>
        <w:sz w:val="20"/>
      </w:rPr>
    </w:pPr>
    <w:r w:rsidRPr="00465E54">
      <w:rPr>
        <w:sz w:val="20"/>
      </w:rPr>
      <w:t xml:space="preserve">Tecnostruttura delle Regioni – </w:t>
    </w:r>
    <w:proofErr w:type="spellStart"/>
    <w:r w:rsidRPr="00465E54">
      <w:rPr>
        <w:sz w:val="20"/>
      </w:rPr>
      <w:t>All</w:t>
    </w:r>
    <w:proofErr w:type="spellEnd"/>
    <w:r w:rsidRPr="00465E54">
      <w:rPr>
        <w:sz w:val="20"/>
      </w:rPr>
      <w:t xml:space="preserve">. 1 al </w:t>
    </w:r>
    <w:proofErr w:type="spellStart"/>
    <w:r w:rsidRPr="00465E54">
      <w:rPr>
        <w:sz w:val="20"/>
      </w:rPr>
      <w:t>prot</w:t>
    </w:r>
    <w:proofErr w:type="spellEnd"/>
    <w:r w:rsidRPr="00465E54">
      <w:rPr>
        <w:sz w:val="20"/>
      </w:rPr>
      <w:t>. 292/FSE del 3 febbraio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9AB" w:rsidRDefault="004669AB" w:rsidP="00B64F87">
      <w:r>
        <w:separator/>
      </w:r>
    </w:p>
  </w:footnote>
  <w:footnote w:type="continuationSeparator" w:id="0">
    <w:p w:rsidR="004669AB" w:rsidRDefault="004669AB" w:rsidP="00B64F87">
      <w:r>
        <w:continuationSeparator/>
      </w:r>
    </w:p>
  </w:footnote>
  <w:footnote w:id="1">
    <w:p w:rsidR="004502EA" w:rsidRPr="003338D2" w:rsidRDefault="004502EA" w:rsidP="00465E54">
      <w:pPr>
        <w:autoSpaceDE w:val="0"/>
        <w:autoSpaceDN w:val="0"/>
        <w:adjustRightInd w:val="0"/>
        <w:ind w:left="142" w:hanging="142"/>
        <w:jc w:val="both"/>
        <w:rPr>
          <w:rFonts w:eastAsiaTheme="minorHAnsi"/>
          <w:color w:val="000000"/>
          <w:sz w:val="16"/>
          <w:szCs w:val="16"/>
          <w:lang w:eastAsia="en-US"/>
        </w:rPr>
      </w:pPr>
      <w:r>
        <w:rPr>
          <w:rStyle w:val="Rimandonotaapidipagina"/>
        </w:rPr>
        <w:footnoteRef/>
      </w:r>
      <w:r>
        <w:t xml:space="preserve"> </w:t>
      </w:r>
      <w:r w:rsidRPr="004502EA">
        <w:rPr>
          <w:rFonts w:eastAsiaTheme="minorHAnsi"/>
          <w:color w:val="000000"/>
          <w:sz w:val="16"/>
          <w:szCs w:val="16"/>
          <w:lang w:eastAsia="en-US"/>
        </w:rPr>
        <w:t>In dettaglio, gli elementi innovativi che saranno nell’</w:t>
      </w:r>
      <w:proofErr w:type="spellStart"/>
      <w:r w:rsidRPr="004502EA">
        <w:rPr>
          <w:rFonts w:eastAsiaTheme="minorHAnsi"/>
          <w:color w:val="000000"/>
          <w:sz w:val="16"/>
          <w:szCs w:val="16"/>
          <w:lang w:eastAsia="en-US"/>
        </w:rPr>
        <w:t>AdP</w:t>
      </w:r>
      <w:proofErr w:type="spellEnd"/>
      <w:r w:rsidRPr="004502EA">
        <w:rPr>
          <w:rFonts w:eastAsiaTheme="minorHAnsi"/>
          <w:color w:val="000000"/>
          <w:sz w:val="16"/>
          <w:szCs w:val="16"/>
          <w:lang w:eastAsia="en-US"/>
        </w:rPr>
        <w:t xml:space="preserve"> oggetto di decisione da parte della Commissione, riguardano:</w:t>
      </w:r>
      <w:r w:rsidR="002D2F50">
        <w:rPr>
          <w:rFonts w:eastAsiaTheme="minorHAnsi"/>
          <w:color w:val="000000"/>
          <w:sz w:val="16"/>
          <w:szCs w:val="16"/>
          <w:lang w:eastAsia="en-US"/>
        </w:rPr>
        <w:t xml:space="preserve"> </w:t>
      </w:r>
      <w:r w:rsidR="003338D2">
        <w:rPr>
          <w:rFonts w:eastAsiaTheme="minorHAnsi"/>
          <w:color w:val="000000"/>
          <w:sz w:val="16"/>
          <w:szCs w:val="16"/>
          <w:lang w:eastAsia="en-US"/>
        </w:rPr>
        <w:t>l</w:t>
      </w:r>
      <w:r w:rsidRPr="003338D2">
        <w:rPr>
          <w:rFonts w:eastAsiaTheme="minorHAnsi"/>
          <w:i/>
          <w:color w:val="000000"/>
          <w:sz w:val="16"/>
          <w:szCs w:val="16"/>
          <w:lang w:eastAsia="en-US"/>
        </w:rPr>
        <w:t>’Analisi socio-economica</w:t>
      </w:r>
      <w:r w:rsidR="002D2F50" w:rsidRPr="003338D2">
        <w:rPr>
          <w:rFonts w:eastAsiaTheme="minorHAnsi"/>
          <w:i/>
          <w:color w:val="000000"/>
          <w:sz w:val="16"/>
          <w:szCs w:val="16"/>
          <w:lang w:eastAsia="en-US"/>
        </w:rPr>
        <w:t>;</w:t>
      </w:r>
      <w:r w:rsidR="00F021EC">
        <w:rPr>
          <w:rFonts w:eastAsiaTheme="minorHAnsi"/>
          <w:i/>
          <w:color w:val="000000"/>
          <w:sz w:val="16"/>
          <w:szCs w:val="16"/>
          <w:lang w:eastAsia="en-US"/>
        </w:rPr>
        <w:t xml:space="preserve"> </w:t>
      </w:r>
      <w:r w:rsidRPr="003338D2">
        <w:rPr>
          <w:rFonts w:eastAsiaTheme="minorHAnsi"/>
          <w:i/>
          <w:color w:val="000000"/>
          <w:sz w:val="16"/>
          <w:szCs w:val="16"/>
          <w:lang w:eastAsia="en-US"/>
        </w:rPr>
        <w:t>Una sintesi delle valutazioni ex ante dei programmi</w:t>
      </w:r>
      <w:r w:rsidRPr="003338D2">
        <w:rPr>
          <w:rFonts w:eastAsiaTheme="minorHAnsi"/>
          <w:color w:val="000000"/>
          <w:sz w:val="16"/>
          <w:szCs w:val="16"/>
          <w:lang w:eastAsia="en-US"/>
        </w:rPr>
        <w:t xml:space="preserve"> o delle conclusioni essenziali della valutazione ex ante dell'accordo di partenariato.  </w:t>
      </w:r>
      <w:r w:rsidRPr="003338D2">
        <w:rPr>
          <w:rFonts w:eastAsiaTheme="minorHAnsi"/>
          <w:i/>
          <w:color w:val="000000"/>
          <w:sz w:val="16"/>
          <w:szCs w:val="16"/>
          <w:lang w:eastAsia="en-US"/>
        </w:rPr>
        <w:t>Obiettivi tematici selezionati e Risultati attesi</w:t>
      </w:r>
      <w:r w:rsidR="00554F05" w:rsidRPr="003338D2">
        <w:rPr>
          <w:rFonts w:eastAsiaTheme="minorHAnsi"/>
          <w:i/>
          <w:color w:val="000000"/>
          <w:sz w:val="16"/>
          <w:szCs w:val="16"/>
          <w:lang w:eastAsia="en-US"/>
        </w:rPr>
        <w:t xml:space="preserve">; </w:t>
      </w:r>
      <w:r w:rsidRPr="003338D2">
        <w:rPr>
          <w:rFonts w:eastAsiaTheme="minorHAnsi"/>
          <w:color w:val="000000"/>
          <w:sz w:val="16"/>
          <w:szCs w:val="16"/>
          <w:lang w:eastAsia="en-US"/>
        </w:rPr>
        <w:t>Applicazione dei principi orizzontali</w:t>
      </w:r>
      <w:r w:rsidR="00554F05" w:rsidRPr="003338D2">
        <w:rPr>
          <w:rFonts w:eastAsiaTheme="minorHAnsi"/>
          <w:color w:val="000000"/>
          <w:sz w:val="16"/>
          <w:szCs w:val="16"/>
          <w:lang w:eastAsia="en-US"/>
        </w:rPr>
        <w:t xml:space="preserve"> l</w:t>
      </w:r>
      <w:r w:rsidRPr="003338D2">
        <w:rPr>
          <w:rFonts w:eastAsiaTheme="minorHAnsi"/>
          <w:color w:val="000000"/>
          <w:sz w:val="16"/>
          <w:szCs w:val="16"/>
          <w:lang w:eastAsia="en-US"/>
        </w:rPr>
        <w:t xml:space="preserve">’impianto deve assicurare </w:t>
      </w:r>
      <w:r w:rsidRPr="003338D2">
        <w:rPr>
          <w:color w:val="000000"/>
          <w:sz w:val="16"/>
          <w:szCs w:val="16"/>
        </w:rPr>
        <w:t>il partenariato e l</w:t>
      </w:r>
      <w:r w:rsidRPr="003338D2">
        <w:rPr>
          <w:rFonts w:eastAsiaTheme="minorHAnsi"/>
          <w:color w:val="000000"/>
          <w:sz w:val="16"/>
          <w:szCs w:val="16"/>
          <w:lang w:eastAsia="en-US"/>
        </w:rPr>
        <w:t xml:space="preserve">a </w:t>
      </w:r>
      <w:proofErr w:type="spellStart"/>
      <w:r w:rsidRPr="003338D2">
        <w:rPr>
          <w:i/>
          <w:color w:val="000000"/>
          <w:sz w:val="16"/>
          <w:szCs w:val="16"/>
        </w:rPr>
        <w:t>governance</w:t>
      </w:r>
      <w:proofErr w:type="spellEnd"/>
      <w:r w:rsidRPr="003338D2">
        <w:rPr>
          <w:color w:val="000000"/>
          <w:sz w:val="16"/>
          <w:szCs w:val="16"/>
        </w:rPr>
        <w:t xml:space="preserve"> a più livelli, la promozione della parità fra uomini e donne e lo sviluppo sostenibile.</w:t>
      </w:r>
      <w:r w:rsidR="00554F05" w:rsidRPr="003338D2">
        <w:rPr>
          <w:color w:val="000000"/>
          <w:sz w:val="16"/>
          <w:szCs w:val="16"/>
        </w:rPr>
        <w:t xml:space="preserve"> </w:t>
      </w:r>
      <w:r w:rsidRPr="003338D2">
        <w:rPr>
          <w:rFonts w:eastAsiaTheme="minorHAnsi"/>
          <w:i/>
          <w:color w:val="000000"/>
          <w:sz w:val="16"/>
          <w:szCs w:val="16"/>
          <w:lang w:eastAsia="en-US"/>
        </w:rPr>
        <w:t>I dati sulla dotazione collegati alla riserva di efficacia dell’attuazione</w:t>
      </w:r>
      <w:r w:rsidR="00554F05" w:rsidRPr="003338D2">
        <w:rPr>
          <w:rFonts w:eastAsiaTheme="minorHAnsi"/>
          <w:i/>
          <w:color w:val="000000"/>
          <w:sz w:val="16"/>
          <w:szCs w:val="16"/>
          <w:lang w:eastAsia="en-US"/>
        </w:rPr>
        <w:t xml:space="preserve">, </w:t>
      </w:r>
      <w:r w:rsidRPr="003338D2">
        <w:rPr>
          <w:color w:val="000000"/>
          <w:sz w:val="16"/>
          <w:szCs w:val="16"/>
        </w:rPr>
        <w:t xml:space="preserve">Tali dati devono essere disaggregati per fondo SIE e per categoria di Regioni, indicando gli importi esclusi ai fini del calcolo della riserva di efficacia. </w:t>
      </w:r>
      <w:r w:rsidRPr="003338D2">
        <w:rPr>
          <w:rFonts w:eastAsiaTheme="minorHAnsi"/>
          <w:i/>
          <w:color w:val="000000"/>
          <w:sz w:val="16"/>
          <w:szCs w:val="16"/>
          <w:lang w:eastAsia="en-US"/>
        </w:rPr>
        <w:t>Disposizioni a garanzia del coordinamento tra i fondi</w:t>
      </w:r>
      <w:r w:rsidR="003338D2" w:rsidRPr="003338D2">
        <w:rPr>
          <w:rFonts w:eastAsiaTheme="minorHAnsi"/>
          <w:i/>
          <w:color w:val="000000"/>
          <w:sz w:val="16"/>
          <w:szCs w:val="16"/>
          <w:lang w:eastAsia="en-US"/>
        </w:rPr>
        <w:t xml:space="preserve">, </w:t>
      </w:r>
      <w:r w:rsidRPr="003338D2">
        <w:rPr>
          <w:rFonts w:eastAsiaTheme="minorHAnsi"/>
          <w:i/>
          <w:color w:val="000000"/>
          <w:sz w:val="16"/>
          <w:szCs w:val="16"/>
          <w:lang w:eastAsia="en-US"/>
        </w:rPr>
        <w:t>La valutazione delle condizionalità ex ante</w:t>
      </w:r>
      <w:r w:rsidR="003338D2" w:rsidRPr="003338D2">
        <w:rPr>
          <w:rFonts w:eastAsiaTheme="minorHAnsi"/>
          <w:i/>
          <w:color w:val="000000"/>
          <w:sz w:val="16"/>
          <w:szCs w:val="16"/>
          <w:lang w:eastAsia="en-US"/>
        </w:rPr>
        <w:t xml:space="preserve">, </w:t>
      </w:r>
      <w:r w:rsidRPr="003338D2">
        <w:rPr>
          <w:rFonts w:eastAsiaTheme="minorHAnsi"/>
          <w:i/>
          <w:color w:val="000000"/>
          <w:sz w:val="16"/>
          <w:szCs w:val="16"/>
          <w:lang w:eastAsia="en-US"/>
        </w:rPr>
        <w:t>Il quadro dei risultati dell’efficacia dell’attuazione</w:t>
      </w:r>
      <w:r w:rsidR="00F021EC">
        <w:rPr>
          <w:rFonts w:eastAsiaTheme="minorHAnsi"/>
          <w:i/>
          <w:color w:val="000000"/>
          <w:sz w:val="16"/>
          <w:szCs w:val="16"/>
          <w:lang w:eastAsia="en-US"/>
        </w:rPr>
        <w:t xml:space="preserve"> </w:t>
      </w:r>
      <w:r w:rsidRPr="003338D2">
        <w:rPr>
          <w:rFonts w:eastAsiaTheme="minorHAnsi"/>
          <w:i/>
          <w:color w:val="000000"/>
          <w:sz w:val="16"/>
          <w:szCs w:val="16"/>
          <w:lang w:eastAsia="en-US"/>
        </w:rPr>
        <w:t>Il partenariato</w:t>
      </w:r>
      <w:r w:rsidRPr="003338D2">
        <w:rPr>
          <w:rFonts w:eastAsiaTheme="minorHAnsi"/>
          <w:color w:val="000000"/>
          <w:sz w:val="16"/>
          <w:szCs w:val="16"/>
          <w:lang w:eastAsia="en-US"/>
        </w:rPr>
        <w:t>.</w:t>
      </w:r>
    </w:p>
    <w:p w:rsidR="004502EA" w:rsidRPr="004502EA" w:rsidRDefault="004502EA">
      <w:pPr>
        <w:pStyle w:val="Testonotaapidipagina"/>
        <w:rPr>
          <w:lang w:val="it-IT"/>
        </w:rPr>
      </w:pPr>
    </w:p>
  </w:footnote>
  <w:footnote w:id="2">
    <w:p w:rsidR="006A4A74" w:rsidRPr="006A4A74" w:rsidRDefault="005371E5" w:rsidP="00465E54">
      <w:pPr>
        <w:autoSpaceDE w:val="0"/>
        <w:autoSpaceDN w:val="0"/>
        <w:adjustRightInd w:val="0"/>
        <w:spacing w:before="60" w:after="60"/>
        <w:ind w:left="142" w:hanging="142"/>
        <w:jc w:val="both"/>
        <w:rPr>
          <w:b/>
          <w:i/>
          <w:sz w:val="22"/>
          <w:szCs w:val="22"/>
          <w:u w:val="single"/>
        </w:rPr>
      </w:pPr>
      <w:r>
        <w:rPr>
          <w:rStyle w:val="Rimandonotaapidipagina"/>
        </w:rPr>
        <w:footnoteRef/>
      </w:r>
      <w:r>
        <w:t xml:space="preserve"> </w:t>
      </w:r>
      <w:r w:rsidR="006A4A74" w:rsidRPr="006A4A74">
        <w:rPr>
          <w:sz w:val="16"/>
          <w:szCs w:val="16"/>
        </w:rPr>
        <w:t>In particolare la relazione punterà ad evidenziare il raggiungimento dei target intermedi stabiliti nel quadro di riferimento dell'efficacia dell'attuazione per ciascun programma, l’effettiva attuazione, secondo il calendario stabilito, delle azioni per adempiere le condizionalità ex ante applicabili definite nell'accordo di partenariato e non soddisfatte alla data di adozione dell'accordo di partenariato, l’attuazione dell'approccio integrato allo sviluppo territoriale, o una sintesi dell'attuazione degli approcci integrati basati sui programmi, compresi i progressi nella realizzazione degli ambiti prioritari stabiliti per la cooperazione; le eventuali azioni intraprese per rafforzare la capacità delle autorità degli Stati membri e dei beneficiari di amministrare e utilizzare i fondi SIE e le relative azioni adottate e i risultati conseguiti nell'ottica della riduzione degli oneri amministrativi a cari</w:t>
      </w:r>
      <w:r w:rsidR="006A4A74">
        <w:rPr>
          <w:sz w:val="16"/>
          <w:szCs w:val="16"/>
        </w:rPr>
        <w:t xml:space="preserve">co dei beneficiari </w:t>
      </w:r>
      <w:r w:rsidR="006A4A74" w:rsidRPr="006A4A74">
        <w:rPr>
          <w:i/>
          <w:sz w:val="16"/>
          <w:szCs w:val="16"/>
        </w:rPr>
        <w:t xml:space="preserve">(Cfr. art. 52 del Reg. </w:t>
      </w:r>
      <w:r w:rsidR="006A4A74">
        <w:rPr>
          <w:i/>
          <w:sz w:val="16"/>
          <w:szCs w:val="16"/>
        </w:rPr>
        <w:t>UE 1303/2013).</w:t>
      </w:r>
    </w:p>
    <w:p w:rsidR="005371E5" w:rsidRPr="005371E5" w:rsidRDefault="005371E5">
      <w:pPr>
        <w:pStyle w:val="Testonotaapidipagina"/>
        <w:rPr>
          <w:lang w:val="it-IT"/>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62DB7"/>
    <w:multiLevelType w:val="hybridMultilevel"/>
    <w:tmpl w:val="03402B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D6B0692"/>
    <w:multiLevelType w:val="hybridMultilevel"/>
    <w:tmpl w:val="3C32941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0E417A30"/>
    <w:multiLevelType w:val="hybridMultilevel"/>
    <w:tmpl w:val="890CFE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4064BE1"/>
    <w:multiLevelType w:val="hybridMultilevel"/>
    <w:tmpl w:val="2FC045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18531F"/>
    <w:multiLevelType w:val="hybridMultilevel"/>
    <w:tmpl w:val="0BCAAD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A8D52A6"/>
    <w:multiLevelType w:val="hybridMultilevel"/>
    <w:tmpl w:val="113C9D5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ADB07B6"/>
    <w:multiLevelType w:val="hybridMultilevel"/>
    <w:tmpl w:val="5B483D9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0F45B7E"/>
    <w:multiLevelType w:val="hybridMultilevel"/>
    <w:tmpl w:val="9306DE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1DC3740"/>
    <w:multiLevelType w:val="hybridMultilevel"/>
    <w:tmpl w:val="ED266BF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28EE778D"/>
    <w:multiLevelType w:val="hybridMultilevel"/>
    <w:tmpl w:val="2FC045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991661B"/>
    <w:multiLevelType w:val="hybridMultilevel"/>
    <w:tmpl w:val="A9A258A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C980BE4"/>
    <w:multiLevelType w:val="hybridMultilevel"/>
    <w:tmpl w:val="CC7E87D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E367AF8"/>
    <w:multiLevelType w:val="hybridMultilevel"/>
    <w:tmpl w:val="02CA79D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nsid w:val="3448739C"/>
    <w:multiLevelType w:val="hybridMultilevel"/>
    <w:tmpl w:val="6B1EDDB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7FA3F7C"/>
    <w:multiLevelType w:val="hybridMultilevel"/>
    <w:tmpl w:val="0758357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41773967"/>
    <w:multiLevelType w:val="hybridMultilevel"/>
    <w:tmpl w:val="AA64559A"/>
    <w:lvl w:ilvl="0" w:tplc="47748512">
      <w:start w:val="1"/>
      <w:numFmt w:val="decimal"/>
      <w:lvlText w:val="%1."/>
      <w:lvlJc w:val="left"/>
      <w:pPr>
        <w:ind w:left="720" w:hanging="360"/>
      </w:pPr>
      <w:rPr>
        <w:rFonts w:ascii="EUAlbertina" w:eastAsiaTheme="minorHAnsi" w:hAnsi="EUAlbertina" w:cs="EUAlbertina" w:hint="default"/>
        <w:b/>
        <w:color w:val="00000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nsid w:val="4DB85705"/>
    <w:multiLevelType w:val="hybridMultilevel"/>
    <w:tmpl w:val="18D029E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2EF4FA0"/>
    <w:multiLevelType w:val="hybridMultilevel"/>
    <w:tmpl w:val="2C4EFDB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AB709D5"/>
    <w:multiLevelType w:val="hybridMultilevel"/>
    <w:tmpl w:val="9CEC999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7F50754F"/>
    <w:multiLevelType w:val="hybridMultilevel"/>
    <w:tmpl w:val="25B01F0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1"/>
  </w:num>
  <w:num w:numId="3">
    <w:abstractNumId w:val="14"/>
  </w:num>
  <w:num w:numId="4">
    <w:abstractNumId w:val="12"/>
  </w:num>
  <w:num w:numId="5">
    <w:abstractNumId w:val="11"/>
  </w:num>
  <w:num w:numId="6">
    <w:abstractNumId w:val="17"/>
  </w:num>
  <w:num w:numId="7">
    <w:abstractNumId w:val="16"/>
  </w:num>
  <w:num w:numId="8">
    <w:abstractNumId w:val="19"/>
  </w:num>
  <w:num w:numId="9">
    <w:abstractNumId w:val="10"/>
  </w:num>
  <w:num w:numId="10">
    <w:abstractNumId w:val="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3"/>
  </w:num>
  <w:num w:numId="14">
    <w:abstractNumId w:val="9"/>
  </w:num>
  <w:num w:numId="15">
    <w:abstractNumId w:val="7"/>
  </w:num>
  <w:num w:numId="16">
    <w:abstractNumId w:val="0"/>
  </w:num>
  <w:num w:numId="17">
    <w:abstractNumId w:val="2"/>
  </w:num>
  <w:num w:numId="18">
    <w:abstractNumId w:val="4"/>
  </w:num>
  <w:num w:numId="19">
    <w:abstractNumId w:val="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BBA"/>
    <w:rsid w:val="00001C59"/>
    <w:rsid w:val="00002392"/>
    <w:rsid w:val="0000359F"/>
    <w:rsid w:val="00004D7D"/>
    <w:rsid w:val="00004D95"/>
    <w:rsid w:val="00005255"/>
    <w:rsid w:val="00005C6D"/>
    <w:rsid w:val="0000666E"/>
    <w:rsid w:val="00006F69"/>
    <w:rsid w:val="00007AC2"/>
    <w:rsid w:val="00010E85"/>
    <w:rsid w:val="0001102E"/>
    <w:rsid w:val="000114AB"/>
    <w:rsid w:val="000152FF"/>
    <w:rsid w:val="00015D74"/>
    <w:rsid w:val="00017725"/>
    <w:rsid w:val="00022E66"/>
    <w:rsid w:val="00023368"/>
    <w:rsid w:val="00023D32"/>
    <w:rsid w:val="00024E71"/>
    <w:rsid w:val="00031133"/>
    <w:rsid w:val="00036674"/>
    <w:rsid w:val="000367C4"/>
    <w:rsid w:val="00042066"/>
    <w:rsid w:val="00045DE6"/>
    <w:rsid w:val="0005269B"/>
    <w:rsid w:val="00056B07"/>
    <w:rsid w:val="00057FB4"/>
    <w:rsid w:val="00065942"/>
    <w:rsid w:val="00067F6E"/>
    <w:rsid w:val="00070C14"/>
    <w:rsid w:val="00072AB0"/>
    <w:rsid w:val="000758C6"/>
    <w:rsid w:val="00091E20"/>
    <w:rsid w:val="000953BE"/>
    <w:rsid w:val="000957D7"/>
    <w:rsid w:val="000960D7"/>
    <w:rsid w:val="0009719E"/>
    <w:rsid w:val="000975CC"/>
    <w:rsid w:val="000A1B3E"/>
    <w:rsid w:val="000A3AB2"/>
    <w:rsid w:val="000A4366"/>
    <w:rsid w:val="000B2286"/>
    <w:rsid w:val="000B4B27"/>
    <w:rsid w:val="000B531A"/>
    <w:rsid w:val="000C0491"/>
    <w:rsid w:val="000C2ADB"/>
    <w:rsid w:val="000C35BF"/>
    <w:rsid w:val="000C488E"/>
    <w:rsid w:val="000C5028"/>
    <w:rsid w:val="000C736C"/>
    <w:rsid w:val="000C798F"/>
    <w:rsid w:val="000C7B7F"/>
    <w:rsid w:val="000D1447"/>
    <w:rsid w:val="000D3AAD"/>
    <w:rsid w:val="000D3C41"/>
    <w:rsid w:val="000D3D84"/>
    <w:rsid w:val="000D731F"/>
    <w:rsid w:val="000E1B0F"/>
    <w:rsid w:val="000E2C66"/>
    <w:rsid w:val="000E4349"/>
    <w:rsid w:val="000E4FA4"/>
    <w:rsid w:val="000E50CB"/>
    <w:rsid w:val="000E714F"/>
    <w:rsid w:val="000E7C95"/>
    <w:rsid w:val="000F74A4"/>
    <w:rsid w:val="001002A6"/>
    <w:rsid w:val="00102432"/>
    <w:rsid w:val="00105F7B"/>
    <w:rsid w:val="0010639D"/>
    <w:rsid w:val="00106DF8"/>
    <w:rsid w:val="001077A5"/>
    <w:rsid w:val="00107DA0"/>
    <w:rsid w:val="00110A14"/>
    <w:rsid w:val="001145E8"/>
    <w:rsid w:val="00115536"/>
    <w:rsid w:val="00116D7A"/>
    <w:rsid w:val="0011729C"/>
    <w:rsid w:val="001205F1"/>
    <w:rsid w:val="001222BC"/>
    <w:rsid w:val="00124547"/>
    <w:rsid w:val="00131FC8"/>
    <w:rsid w:val="0013324D"/>
    <w:rsid w:val="0013717D"/>
    <w:rsid w:val="00137491"/>
    <w:rsid w:val="0014107F"/>
    <w:rsid w:val="00141299"/>
    <w:rsid w:val="00141782"/>
    <w:rsid w:val="00143286"/>
    <w:rsid w:val="00145045"/>
    <w:rsid w:val="00151958"/>
    <w:rsid w:val="00156388"/>
    <w:rsid w:val="0016176A"/>
    <w:rsid w:val="00165777"/>
    <w:rsid w:val="001661F9"/>
    <w:rsid w:val="00166E51"/>
    <w:rsid w:val="00167CD0"/>
    <w:rsid w:val="00170ADF"/>
    <w:rsid w:val="00175448"/>
    <w:rsid w:val="001769AF"/>
    <w:rsid w:val="00176C1D"/>
    <w:rsid w:val="00176ECC"/>
    <w:rsid w:val="001805B4"/>
    <w:rsid w:val="0018359B"/>
    <w:rsid w:val="00183DE4"/>
    <w:rsid w:val="00184410"/>
    <w:rsid w:val="00184BE3"/>
    <w:rsid w:val="00186846"/>
    <w:rsid w:val="00187222"/>
    <w:rsid w:val="00190B9C"/>
    <w:rsid w:val="00191FE0"/>
    <w:rsid w:val="00193443"/>
    <w:rsid w:val="00195FB0"/>
    <w:rsid w:val="001A22BC"/>
    <w:rsid w:val="001A2860"/>
    <w:rsid w:val="001A3942"/>
    <w:rsid w:val="001A5591"/>
    <w:rsid w:val="001A7100"/>
    <w:rsid w:val="001C5F36"/>
    <w:rsid w:val="001D12F9"/>
    <w:rsid w:val="001D6B06"/>
    <w:rsid w:val="001D7C4C"/>
    <w:rsid w:val="001D7D73"/>
    <w:rsid w:val="001E230B"/>
    <w:rsid w:val="001E5491"/>
    <w:rsid w:val="001E7ACE"/>
    <w:rsid w:val="001E7C12"/>
    <w:rsid w:val="001E7C99"/>
    <w:rsid w:val="001F03ED"/>
    <w:rsid w:val="001F07E1"/>
    <w:rsid w:val="001F150B"/>
    <w:rsid w:val="001F3645"/>
    <w:rsid w:val="001F5DE0"/>
    <w:rsid w:val="00203B13"/>
    <w:rsid w:val="002041AD"/>
    <w:rsid w:val="00207A14"/>
    <w:rsid w:val="0021103E"/>
    <w:rsid w:val="0021153A"/>
    <w:rsid w:val="002149FC"/>
    <w:rsid w:val="0021554C"/>
    <w:rsid w:val="00217A3F"/>
    <w:rsid w:val="0022015A"/>
    <w:rsid w:val="002205C3"/>
    <w:rsid w:val="00220FD9"/>
    <w:rsid w:val="00221003"/>
    <w:rsid w:val="00224BF2"/>
    <w:rsid w:val="00240A54"/>
    <w:rsid w:val="0024611B"/>
    <w:rsid w:val="00251142"/>
    <w:rsid w:val="0025357E"/>
    <w:rsid w:val="00253CE0"/>
    <w:rsid w:val="00261543"/>
    <w:rsid w:val="00261A6A"/>
    <w:rsid w:val="0026577B"/>
    <w:rsid w:val="00266086"/>
    <w:rsid w:val="002731F9"/>
    <w:rsid w:val="00274801"/>
    <w:rsid w:val="00275555"/>
    <w:rsid w:val="00277864"/>
    <w:rsid w:val="0028026E"/>
    <w:rsid w:val="00283B18"/>
    <w:rsid w:val="00283B85"/>
    <w:rsid w:val="00283E0F"/>
    <w:rsid w:val="00291BD3"/>
    <w:rsid w:val="00296470"/>
    <w:rsid w:val="002967C3"/>
    <w:rsid w:val="002A04D8"/>
    <w:rsid w:val="002A63C4"/>
    <w:rsid w:val="002A6BD1"/>
    <w:rsid w:val="002B0480"/>
    <w:rsid w:val="002B131C"/>
    <w:rsid w:val="002B30AB"/>
    <w:rsid w:val="002B4AD0"/>
    <w:rsid w:val="002B6ABA"/>
    <w:rsid w:val="002C0158"/>
    <w:rsid w:val="002C10CD"/>
    <w:rsid w:val="002C1767"/>
    <w:rsid w:val="002C5706"/>
    <w:rsid w:val="002D277C"/>
    <w:rsid w:val="002D2F50"/>
    <w:rsid w:val="002D2FDF"/>
    <w:rsid w:val="002D33E3"/>
    <w:rsid w:val="002D5FD2"/>
    <w:rsid w:val="002D6382"/>
    <w:rsid w:val="002D7E7F"/>
    <w:rsid w:val="002D7FD3"/>
    <w:rsid w:val="002E040E"/>
    <w:rsid w:val="002E0F01"/>
    <w:rsid w:val="002E3B69"/>
    <w:rsid w:val="002E548A"/>
    <w:rsid w:val="002F0206"/>
    <w:rsid w:val="002F032A"/>
    <w:rsid w:val="002F1598"/>
    <w:rsid w:val="002F2808"/>
    <w:rsid w:val="002F7027"/>
    <w:rsid w:val="002F71D6"/>
    <w:rsid w:val="003016D1"/>
    <w:rsid w:val="00303ADF"/>
    <w:rsid w:val="003041C5"/>
    <w:rsid w:val="00304504"/>
    <w:rsid w:val="003079F9"/>
    <w:rsid w:val="003212CC"/>
    <w:rsid w:val="00326C91"/>
    <w:rsid w:val="003338D2"/>
    <w:rsid w:val="00333E8A"/>
    <w:rsid w:val="003373B6"/>
    <w:rsid w:val="00340954"/>
    <w:rsid w:val="00341333"/>
    <w:rsid w:val="00343443"/>
    <w:rsid w:val="00343547"/>
    <w:rsid w:val="0034359C"/>
    <w:rsid w:val="00346FB9"/>
    <w:rsid w:val="00350EB0"/>
    <w:rsid w:val="0035265D"/>
    <w:rsid w:val="00352BC1"/>
    <w:rsid w:val="00352BF5"/>
    <w:rsid w:val="00357C1E"/>
    <w:rsid w:val="0036398D"/>
    <w:rsid w:val="003717A7"/>
    <w:rsid w:val="00371928"/>
    <w:rsid w:val="00373D5F"/>
    <w:rsid w:val="00380ED2"/>
    <w:rsid w:val="0038170B"/>
    <w:rsid w:val="00381B1D"/>
    <w:rsid w:val="003850AA"/>
    <w:rsid w:val="00385678"/>
    <w:rsid w:val="003914C7"/>
    <w:rsid w:val="00393F13"/>
    <w:rsid w:val="00397EE6"/>
    <w:rsid w:val="003A0607"/>
    <w:rsid w:val="003A2657"/>
    <w:rsid w:val="003A4AB4"/>
    <w:rsid w:val="003A6990"/>
    <w:rsid w:val="003B32FE"/>
    <w:rsid w:val="003B490C"/>
    <w:rsid w:val="003B4C91"/>
    <w:rsid w:val="003B58B9"/>
    <w:rsid w:val="003C645D"/>
    <w:rsid w:val="003C6914"/>
    <w:rsid w:val="003D02BE"/>
    <w:rsid w:val="003D582E"/>
    <w:rsid w:val="003D5896"/>
    <w:rsid w:val="003D722C"/>
    <w:rsid w:val="003E5306"/>
    <w:rsid w:val="003E6596"/>
    <w:rsid w:val="003F2B8A"/>
    <w:rsid w:val="003F78DA"/>
    <w:rsid w:val="00403EFA"/>
    <w:rsid w:val="0040436D"/>
    <w:rsid w:val="0040613B"/>
    <w:rsid w:val="00411EDC"/>
    <w:rsid w:val="0041791F"/>
    <w:rsid w:val="00420029"/>
    <w:rsid w:val="00423065"/>
    <w:rsid w:val="00433105"/>
    <w:rsid w:val="0043702E"/>
    <w:rsid w:val="004420A5"/>
    <w:rsid w:val="004427DD"/>
    <w:rsid w:val="00447F19"/>
    <w:rsid w:val="004502EA"/>
    <w:rsid w:val="00451654"/>
    <w:rsid w:val="0045483D"/>
    <w:rsid w:val="004551B7"/>
    <w:rsid w:val="004601DE"/>
    <w:rsid w:val="00460A13"/>
    <w:rsid w:val="00461575"/>
    <w:rsid w:val="00462209"/>
    <w:rsid w:val="00462B90"/>
    <w:rsid w:val="00463196"/>
    <w:rsid w:val="00465E54"/>
    <w:rsid w:val="004669AB"/>
    <w:rsid w:val="0046759E"/>
    <w:rsid w:val="004928F6"/>
    <w:rsid w:val="004937E5"/>
    <w:rsid w:val="00493BA5"/>
    <w:rsid w:val="0049759F"/>
    <w:rsid w:val="004A07D1"/>
    <w:rsid w:val="004A1665"/>
    <w:rsid w:val="004A2BA5"/>
    <w:rsid w:val="004A5FEA"/>
    <w:rsid w:val="004A6F5E"/>
    <w:rsid w:val="004A75E8"/>
    <w:rsid w:val="004B1EF2"/>
    <w:rsid w:val="004C2B99"/>
    <w:rsid w:val="004C2E0F"/>
    <w:rsid w:val="004C7540"/>
    <w:rsid w:val="004D29BB"/>
    <w:rsid w:val="004D576B"/>
    <w:rsid w:val="004D5DC1"/>
    <w:rsid w:val="004E0A5E"/>
    <w:rsid w:val="004E1567"/>
    <w:rsid w:val="004E1B83"/>
    <w:rsid w:val="004E242D"/>
    <w:rsid w:val="004E2E3D"/>
    <w:rsid w:val="004E3943"/>
    <w:rsid w:val="004E4284"/>
    <w:rsid w:val="004F2BC6"/>
    <w:rsid w:val="004F2F61"/>
    <w:rsid w:val="00502DF7"/>
    <w:rsid w:val="00510B42"/>
    <w:rsid w:val="00512B02"/>
    <w:rsid w:val="0051363E"/>
    <w:rsid w:val="00513AFF"/>
    <w:rsid w:val="00514B04"/>
    <w:rsid w:val="00515ED4"/>
    <w:rsid w:val="0051769E"/>
    <w:rsid w:val="005207CD"/>
    <w:rsid w:val="00521861"/>
    <w:rsid w:val="00524B46"/>
    <w:rsid w:val="00527747"/>
    <w:rsid w:val="005371E5"/>
    <w:rsid w:val="005434F3"/>
    <w:rsid w:val="005461FA"/>
    <w:rsid w:val="00547CCA"/>
    <w:rsid w:val="0055354B"/>
    <w:rsid w:val="00554F05"/>
    <w:rsid w:val="00560343"/>
    <w:rsid w:val="00562E20"/>
    <w:rsid w:val="00563F22"/>
    <w:rsid w:val="00571C54"/>
    <w:rsid w:val="00575AC3"/>
    <w:rsid w:val="00581202"/>
    <w:rsid w:val="00583641"/>
    <w:rsid w:val="00587A80"/>
    <w:rsid w:val="005901E3"/>
    <w:rsid w:val="005A0DBE"/>
    <w:rsid w:val="005A297B"/>
    <w:rsid w:val="005B0E4C"/>
    <w:rsid w:val="005B0F7E"/>
    <w:rsid w:val="005B305A"/>
    <w:rsid w:val="005B3526"/>
    <w:rsid w:val="005B383F"/>
    <w:rsid w:val="005B3DC6"/>
    <w:rsid w:val="005C059F"/>
    <w:rsid w:val="005C0A3E"/>
    <w:rsid w:val="005C23E6"/>
    <w:rsid w:val="005C49FB"/>
    <w:rsid w:val="005C71B4"/>
    <w:rsid w:val="005D043B"/>
    <w:rsid w:val="005D1041"/>
    <w:rsid w:val="005D1077"/>
    <w:rsid w:val="005D3293"/>
    <w:rsid w:val="005D771F"/>
    <w:rsid w:val="005D796E"/>
    <w:rsid w:val="005E491A"/>
    <w:rsid w:val="005E6EB9"/>
    <w:rsid w:val="005F0FF5"/>
    <w:rsid w:val="005F58FD"/>
    <w:rsid w:val="005F7777"/>
    <w:rsid w:val="0060241D"/>
    <w:rsid w:val="0060320E"/>
    <w:rsid w:val="0060403C"/>
    <w:rsid w:val="00605E0B"/>
    <w:rsid w:val="00610795"/>
    <w:rsid w:val="00620724"/>
    <w:rsid w:val="00624EAE"/>
    <w:rsid w:val="006318D4"/>
    <w:rsid w:val="00632333"/>
    <w:rsid w:val="006349D9"/>
    <w:rsid w:val="006443A8"/>
    <w:rsid w:val="00647AD6"/>
    <w:rsid w:val="00650042"/>
    <w:rsid w:val="00650CE0"/>
    <w:rsid w:val="0065580D"/>
    <w:rsid w:val="00655B8C"/>
    <w:rsid w:val="00656263"/>
    <w:rsid w:val="00657E30"/>
    <w:rsid w:val="00661625"/>
    <w:rsid w:val="00661E9E"/>
    <w:rsid w:val="00662795"/>
    <w:rsid w:val="00671F1B"/>
    <w:rsid w:val="00673561"/>
    <w:rsid w:val="0067480A"/>
    <w:rsid w:val="006757D0"/>
    <w:rsid w:val="00675BF5"/>
    <w:rsid w:val="006811A4"/>
    <w:rsid w:val="00684355"/>
    <w:rsid w:val="00687872"/>
    <w:rsid w:val="006907CA"/>
    <w:rsid w:val="006911CA"/>
    <w:rsid w:val="00695743"/>
    <w:rsid w:val="00695C30"/>
    <w:rsid w:val="006A1292"/>
    <w:rsid w:val="006A3113"/>
    <w:rsid w:val="006A4A74"/>
    <w:rsid w:val="006B0B52"/>
    <w:rsid w:val="006B441C"/>
    <w:rsid w:val="006C2E46"/>
    <w:rsid w:val="006C52E7"/>
    <w:rsid w:val="006D073A"/>
    <w:rsid w:val="006D2D3D"/>
    <w:rsid w:val="006E5841"/>
    <w:rsid w:val="006F3E01"/>
    <w:rsid w:val="006F5740"/>
    <w:rsid w:val="006F77C8"/>
    <w:rsid w:val="00702AF7"/>
    <w:rsid w:val="00703DEE"/>
    <w:rsid w:val="00705F97"/>
    <w:rsid w:val="00716A74"/>
    <w:rsid w:val="00717104"/>
    <w:rsid w:val="007201BE"/>
    <w:rsid w:val="00722E42"/>
    <w:rsid w:val="00722F5F"/>
    <w:rsid w:val="00723222"/>
    <w:rsid w:val="00725AFE"/>
    <w:rsid w:val="0073094C"/>
    <w:rsid w:val="0073125E"/>
    <w:rsid w:val="007339FD"/>
    <w:rsid w:val="00742138"/>
    <w:rsid w:val="00750F26"/>
    <w:rsid w:val="007549B0"/>
    <w:rsid w:val="00755F90"/>
    <w:rsid w:val="007614F6"/>
    <w:rsid w:val="00765420"/>
    <w:rsid w:val="007708F3"/>
    <w:rsid w:val="00770B84"/>
    <w:rsid w:val="00771185"/>
    <w:rsid w:val="00773D4A"/>
    <w:rsid w:val="0077460B"/>
    <w:rsid w:val="00777575"/>
    <w:rsid w:val="0077782F"/>
    <w:rsid w:val="00780920"/>
    <w:rsid w:val="00780CA6"/>
    <w:rsid w:val="00783DEC"/>
    <w:rsid w:val="00785E44"/>
    <w:rsid w:val="007A3379"/>
    <w:rsid w:val="007A41AC"/>
    <w:rsid w:val="007A6935"/>
    <w:rsid w:val="007A6CFC"/>
    <w:rsid w:val="007B28C0"/>
    <w:rsid w:val="007B54B6"/>
    <w:rsid w:val="007C080F"/>
    <w:rsid w:val="007C325D"/>
    <w:rsid w:val="007C5F8C"/>
    <w:rsid w:val="007D0F9D"/>
    <w:rsid w:val="007D12F1"/>
    <w:rsid w:val="007D4EA8"/>
    <w:rsid w:val="007D564C"/>
    <w:rsid w:val="007E0DC3"/>
    <w:rsid w:val="007E31C8"/>
    <w:rsid w:val="007E3CEA"/>
    <w:rsid w:val="007E6D83"/>
    <w:rsid w:val="007F1CD8"/>
    <w:rsid w:val="007F2925"/>
    <w:rsid w:val="007F4B84"/>
    <w:rsid w:val="007F66F9"/>
    <w:rsid w:val="00803759"/>
    <w:rsid w:val="00805F85"/>
    <w:rsid w:val="00807164"/>
    <w:rsid w:val="00813996"/>
    <w:rsid w:val="00815C32"/>
    <w:rsid w:val="0082401C"/>
    <w:rsid w:val="008241B9"/>
    <w:rsid w:val="00825B31"/>
    <w:rsid w:val="008261CB"/>
    <w:rsid w:val="008366B5"/>
    <w:rsid w:val="0084228A"/>
    <w:rsid w:val="008456C1"/>
    <w:rsid w:val="00846C0F"/>
    <w:rsid w:val="00854148"/>
    <w:rsid w:val="00861FEC"/>
    <w:rsid w:val="00865573"/>
    <w:rsid w:val="00871ABE"/>
    <w:rsid w:val="008721C6"/>
    <w:rsid w:val="0087446C"/>
    <w:rsid w:val="00874DD1"/>
    <w:rsid w:val="00882E39"/>
    <w:rsid w:val="00887F34"/>
    <w:rsid w:val="00891243"/>
    <w:rsid w:val="00895A21"/>
    <w:rsid w:val="008979A4"/>
    <w:rsid w:val="008A30B5"/>
    <w:rsid w:val="008A3F86"/>
    <w:rsid w:val="008A5177"/>
    <w:rsid w:val="008A6E25"/>
    <w:rsid w:val="008B0005"/>
    <w:rsid w:val="008B0D38"/>
    <w:rsid w:val="008B1D56"/>
    <w:rsid w:val="008B31D1"/>
    <w:rsid w:val="008B37E8"/>
    <w:rsid w:val="008C3450"/>
    <w:rsid w:val="008C34B3"/>
    <w:rsid w:val="008C3BD4"/>
    <w:rsid w:val="008C4F30"/>
    <w:rsid w:val="008C562B"/>
    <w:rsid w:val="008D1625"/>
    <w:rsid w:val="008D56F4"/>
    <w:rsid w:val="008E2FE3"/>
    <w:rsid w:val="008F1BC0"/>
    <w:rsid w:val="008F5FB9"/>
    <w:rsid w:val="00904360"/>
    <w:rsid w:val="00910965"/>
    <w:rsid w:val="00914B76"/>
    <w:rsid w:val="00917457"/>
    <w:rsid w:val="009257CB"/>
    <w:rsid w:val="00925A2C"/>
    <w:rsid w:val="00926D7B"/>
    <w:rsid w:val="00934EC0"/>
    <w:rsid w:val="00945677"/>
    <w:rsid w:val="00946BBC"/>
    <w:rsid w:val="00951338"/>
    <w:rsid w:val="00963BB9"/>
    <w:rsid w:val="00970579"/>
    <w:rsid w:val="00973635"/>
    <w:rsid w:val="0097715F"/>
    <w:rsid w:val="00980856"/>
    <w:rsid w:val="009820CA"/>
    <w:rsid w:val="009A062C"/>
    <w:rsid w:val="009A6721"/>
    <w:rsid w:val="009B013F"/>
    <w:rsid w:val="009B0415"/>
    <w:rsid w:val="009B0B18"/>
    <w:rsid w:val="009B2007"/>
    <w:rsid w:val="009B2D22"/>
    <w:rsid w:val="009B2D71"/>
    <w:rsid w:val="009B47A5"/>
    <w:rsid w:val="009C4991"/>
    <w:rsid w:val="009C75E4"/>
    <w:rsid w:val="009D0589"/>
    <w:rsid w:val="009D139A"/>
    <w:rsid w:val="009D1E58"/>
    <w:rsid w:val="009D4B54"/>
    <w:rsid w:val="009D7D4C"/>
    <w:rsid w:val="009E12F6"/>
    <w:rsid w:val="009E27EE"/>
    <w:rsid w:val="009E3C95"/>
    <w:rsid w:val="009E4266"/>
    <w:rsid w:val="009E6495"/>
    <w:rsid w:val="009E7A01"/>
    <w:rsid w:val="009F1768"/>
    <w:rsid w:val="009F313F"/>
    <w:rsid w:val="009F6BEA"/>
    <w:rsid w:val="00A03EB9"/>
    <w:rsid w:val="00A04F66"/>
    <w:rsid w:val="00A07DF0"/>
    <w:rsid w:val="00A11A25"/>
    <w:rsid w:val="00A130DA"/>
    <w:rsid w:val="00A16D90"/>
    <w:rsid w:val="00A214CE"/>
    <w:rsid w:val="00A21C8F"/>
    <w:rsid w:val="00A2373B"/>
    <w:rsid w:val="00A24204"/>
    <w:rsid w:val="00A31C12"/>
    <w:rsid w:val="00A34B89"/>
    <w:rsid w:val="00A35389"/>
    <w:rsid w:val="00A35AB0"/>
    <w:rsid w:val="00A36E4C"/>
    <w:rsid w:val="00A41B93"/>
    <w:rsid w:val="00A42372"/>
    <w:rsid w:val="00A46E81"/>
    <w:rsid w:val="00A60B4B"/>
    <w:rsid w:val="00A61640"/>
    <w:rsid w:val="00A63C60"/>
    <w:rsid w:val="00A67274"/>
    <w:rsid w:val="00A72817"/>
    <w:rsid w:val="00A7543A"/>
    <w:rsid w:val="00A76EA0"/>
    <w:rsid w:val="00A811AC"/>
    <w:rsid w:val="00A8176E"/>
    <w:rsid w:val="00A84AD3"/>
    <w:rsid w:val="00A8573A"/>
    <w:rsid w:val="00A93DEE"/>
    <w:rsid w:val="00A93EF2"/>
    <w:rsid w:val="00A9515E"/>
    <w:rsid w:val="00A96B83"/>
    <w:rsid w:val="00A96EBD"/>
    <w:rsid w:val="00AA0DFD"/>
    <w:rsid w:val="00AA65C9"/>
    <w:rsid w:val="00AA6C2A"/>
    <w:rsid w:val="00AA6F75"/>
    <w:rsid w:val="00AB1DCB"/>
    <w:rsid w:val="00AB4FC8"/>
    <w:rsid w:val="00AC0004"/>
    <w:rsid w:val="00AC0EF0"/>
    <w:rsid w:val="00AC1855"/>
    <w:rsid w:val="00AC2BAA"/>
    <w:rsid w:val="00AC3FA2"/>
    <w:rsid w:val="00AC5EA3"/>
    <w:rsid w:val="00AD0E12"/>
    <w:rsid w:val="00AD20C6"/>
    <w:rsid w:val="00AD51B4"/>
    <w:rsid w:val="00AD6C3B"/>
    <w:rsid w:val="00AE112F"/>
    <w:rsid w:val="00AE4234"/>
    <w:rsid w:val="00AE54B6"/>
    <w:rsid w:val="00AF3CFD"/>
    <w:rsid w:val="00AF412B"/>
    <w:rsid w:val="00AF43D7"/>
    <w:rsid w:val="00AF6793"/>
    <w:rsid w:val="00B00DC0"/>
    <w:rsid w:val="00B06235"/>
    <w:rsid w:val="00B06AB8"/>
    <w:rsid w:val="00B06D54"/>
    <w:rsid w:val="00B073BF"/>
    <w:rsid w:val="00B13C48"/>
    <w:rsid w:val="00B178D1"/>
    <w:rsid w:val="00B21FEA"/>
    <w:rsid w:val="00B23867"/>
    <w:rsid w:val="00B23DE8"/>
    <w:rsid w:val="00B27E4B"/>
    <w:rsid w:val="00B30543"/>
    <w:rsid w:val="00B33931"/>
    <w:rsid w:val="00B34789"/>
    <w:rsid w:val="00B371CB"/>
    <w:rsid w:val="00B43101"/>
    <w:rsid w:val="00B438F8"/>
    <w:rsid w:val="00B44B6E"/>
    <w:rsid w:val="00B45CFF"/>
    <w:rsid w:val="00B47157"/>
    <w:rsid w:val="00B57B26"/>
    <w:rsid w:val="00B6194A"/>
    <w:rsid w:val="00B64F87"/>
    <w:rsid w:val="00B65BBA"/>
    <w:rsid w:val="00B66085"/>
    <w:rsid w:val="00B66D78"/>
    <w:rsid w:val="00B73CBF"/>
    <w:rsid w:val="00B75F7A"/>
    <w:rsid w:val="00B7715B"/>
    <w:rsid w:val="00B80CFD"/>
    <w:rsid w:val="00B8319D"/>
    <w:rsid w:val="00B86153"/>
    <w:rsid w:val="00B97DE4"/>
    <w:rsid w:val="00BA2EB7"/>
    <w:rsid w:val="00BA37C7"/>
    <w:rsid w:val="00BB0B0F"/>
    <w:rsid w:val="00BB14EE"/>
    <w:rsid w:val="00BC1104"/>
    <w:rsid w:val="00BC229E"/>
    <w:rsid w:val="00BC45BC"/>
    <w:rsid w:val="00BC4DA2"/>
    <w:rsid w:val="00BC70CE"/>
    <w:rsid w:val="00BC7303"/>
    <w:rsid w:val="00BD0D34"/>
    <w:rsid w:val="00BD555E"/>
    <w:rsid w:val="00BD6B59"/>
    <w:rsid w:val="00BD7E33"/>
    <w:rsid w:val="00BE12B3"/>
    <w:rsid w:val="00BE72CA"/>
    <w:rsid w:val="00BF47AB"/>
    <w:rsid w:val="00C03208"/>
    <w:rsid w:val="00C06968"/>
    <w:rsid w:val="00C07C0C"/>
    <w:rsid w:val="00C1439A"/>
    <w:rsid w:val="00C147D1"/>
    <w:rsid w:val="00C16DB2"/>
    <w:rsid w:val="00C34AB7"/>
    <w:rsid w:val="00C35408"/>
    <w:rsid w:val="00C37793"/>
    <w:rsid w:val="00C51E80"/>
    <w:rsid w:val="00C52C0F"/>
    <w:rsid w:val="00C54493"/>
    <w:rsid w:val="00C61CD8"/>
    <w:rsid w:val="00C665B3"/>
    <w:rsid w:val="00C70CB4"/>
    <w:rsid w:val="00C73924"/>
    <w:rsid w:val="00C73A13"/>
    <w:rsid w:val="00C74594"/>
    <w:rsid w:val="00C76ED6"/>
    <w:rsid w:val="00C83FB0"/>
    <w:rsid w:val="00C84A07"/>
    <w:rsid w:val="00C86D61"/>
    <w:rsid w:val="00C90C7E"/>
    <w:rsid w:val="00C91E0B"/>
    <w:rsid w:val="00CA04E0"/>
    <w:rsid w:val="00CA1FFB"/>
    <w:rsid w:val="00CB0875"/>
    <w:rsid w:val="00CB0DAF"/>
    <w:rsid w:val="00CB516F"/>
    <w:rsid w:val="00CB530C"/>
    <w:rsid w:val="00CC67E5"/>
    <w:rsid w:val="00CC7D2F"/>
    <w:rsid w:val="00CD2B51"/>
    <w:rsid w:val="00CD3250"/>
    <w:rsid w:val="00CD46F0"/>
    <w:rsid w:val="00CE449A"/>
    <w:rsid w:val="00CE5A77"/>
    <w:rsid w:val="00CE675D"/>
    <w:rsid w:val="00CE7EF5"/>
    <w:rsid w:val="00CF1669"/>
    <w:rsid w:val="00CF1BA4"/>
    <w:rsid w:val="00CF20FD"/>
    <w:rsid w:val="00CF3E2E"/>
    <w:rsid w:val="00CF42FA"/>
    <w:rsid w:val="00CF6197"/>
    <w:rsid w:val="00CF6C1B"/>
    <w:rsid w:val="00D00AEF"/>
    <w:rsid w:val="00D00E50"/>
    <w:rsid w:val="00D0252B"/>
    <w:rsid w:val="00D02C9B"/>
    <w:rsid w:val="00D0359B"/>
    <w:rsid w:val="00D06154"/>
    <w:rsid w:val="00D1152B"/>
    <w:rsid w:val="00D12192"/>
    <w:rsid w:val="00D15A58"/>
    <w:rsid w:val="00D16128"/>
    <w:rsid w:val="00D16B46"/>
    <w:rsid w:val="00D17A9C"/>
    <w:rsid w:val="00D20903"/>
    <w:rsid w:val="00D24458"/>
    <w:rsid w:val="00D25169"/>
    <w:rsid w:val="00D2626E"/>
    <w:rsid w:val="00D36A06"/>
    <w:rsid w:val="00D37B85"/>
    <w:rsid w:val="00D405B2"/>
    <w:rsid w:val="00D4133B"/>
    <w:rsid w:val="00D4503A"/>
    <w:rsid w:val="00D45EFD"/>
    <w:rsid w:val="00D503F8"/>
    <w:rsid w:val="00D50D2E"/>
    <w:rsid w:val="00D5198B"/>
    <w:rsid w:val="00D51E8F"/>
    <w:rsid w:val="00D62AD3"/>
    <w:rsid w:val="00D6428C"/>
    <w:rsid w:val="00D64564"/>
    <w:rsid w:val="00D748BA"/>
    <w:rsid w:val="00D74A6F"/>
    <w:rsid w:val="00D8033E"/>
    <w:rsid w:val="00D80500"/>
    <w:rsid w:val="00D8105D"/>
    <w:rsid w:val="00D84DDC"/>
    <w:rsid w:val="00D85598"/>
    <w:rsid w:val="00D856F0"/>
    <w:rsid w:val="00D87131"/>
    <w:rsid w:val="00D91D32"/>
    <w:rsid w:val="00D97FBD"/>
    <w:rsid w:val="00DA36E3"/>
    <w:rsid w:val="00DA6F1B"/>
    <w:rsid w:val="00DB3241"/>
    <w:rsid w:val="00DC796F"/>
    <w:rsid w:val="00DD0CE3"/>
    <w:rsid w:val="00DD18AE"/>
    <w:rsid w:val="00DD4D3E"/>
    <w:rsid w:val="00DE0C90"/>
    <w:rsid w:val="00DE1F12"/>
    <w:rsid w:val="00DE26FF"/>
    <w:rsid w:val="00DE3370"/>
    <w:rsid w:val="00DF4A6D"/>
    <w:rsid w:val="00DF5079"/>
    <w:rsid w:val="00DF5518"/>
    <w:rsid w:val="00E027A0"/>
    <w:rsid w:val="00E03C9A"/>
    <w:rsid w:val="00E03DC9"/>
    <w:rsid w:val="00E07E6C"/>
    <w:rsid w:val="00E1093D"/>
    <w:rsid w:val="00E10D42"/>
    <w:rsid w:val="00E11071"/>
    <w:rsid w:val="00E229D6"/>
    <w:rsid w:val="00E270CB"/>
    <w:rsid w:val="00E33556"/>
    <w:rsid w:val="00E34000"/>
    <w:rsid w:val="00E348D7"/>
    <w:rsid w:val="00E47DED"/>
    <w:rsid w:val="00E50EC5"/>
    <w:rsid w:val="00E606D9"/>
    <w:rsid w:val="00E66B5C"/>
    <w:rsid w:val="00E722FA"/>
    <w:rsid w:val="00E7301A"/>
    <w:rsid w:val="00E73138"/>
    <w:rsid w:val="00E7535E"/>
    <w:rsid w:val="00E809FD"/>
    <w:rsid w:val="00E95204"/>
    <w:rsid w:val="00E978AB"/>
    <w:rsid w:val="00EA01BF"/>
    <w:rsid w:val="00EA4664"/>
    <w:rsid w:val="00EA6D2B"/>
    <w:rsid w:val="00EA7610"/>
    <w:rsid w:val="00EB2045"/>
    <w:rsid w:val="00EB267A"/>
    <w:rsid w:val="00EB3CE2"/>
    <w:rsid w:val="00EB78A2"/>
    <w:rsid w:val="00EB7F85"/>
    <w:rsid w:val="00EC210E"/>
    <w:rsid w:val="00EC2722"/>
    <w:rsid w:val="00EC52AD"/>
    <w:rsid w:val="00ED18CF"/>
    <w:rsid w:val="00ED2099"/>
    <w:rsid w:val="00ED431C"/>
    <w:rsid w:val="00EE110B"/>
    <w:rsid w:val="00EE27BC"/>
    <w:rsid w:val="00EE3143"/>
    <w:rsid w:val="00EE4EEB"/>
    <w:rsid w:val="00EE77CA"/>
    <w:rsid w:val="00EE7AE4"/>
    <w:rsid w:val="00EF257E"/>
    <w:rsid w:val="00EF284B"/>
    <w:rsid w:val="00EF60E1"/>
    <w:rsid w:val="00F0114A"/>
    <w:rsid w:val="00F0123B"/>
    <w:rsid w:val="00F021EC"/>
    <w:rsid w:val="00F02F39"/>
    <w:rsid w:val="00F0467A"/>
    <w:rsid w:val="00F0501B"/>
    <w:rsid w:val="00F0643A"/>
    <w:rsid w:val="00F10B03"/>
    <w:rsid w:val="00F113BB"/>
    <w:rsid w:val="00F12E3B"/>
    <w:rsid w:val="00F13B90"/>
    <w:rsid w:val="00F13F96"/>
    <w:rsid w:val="00F13FFC"/>
    <w:rsid w:val="00F20F55"/>
    <w:rsid w:val="00F2167A"/>
    <w:rsid w:val="00F32A6F"/>
    <w:rsid w:val="00F33DCD"/>
    <w:rsid w:val="00F342A1"/>
    <w:rsid w:val="00F346DF"/>
    <w:rsid w:val="00F417C8"/>
    <w:rsid w:val="00F4320C"/>
    <w:rsid w:val="00F505F7"/>
    <w:rsid w:val="00F52E18"/>
    <w:rsid w:val="00F54A7B"/>
    <w:rsid w:val="00F54B1D"/>
    <w:rsid w:val="00F6117B"/>
    <w:rsid w:val="00F63C92"/>
    <w:rsid w:val="00F66F42"/>
    <w:rsid w:val="00F674D6"/>
    <w:rsid w:val="00F675B6"/>
    <w:rsid w:val="00F74204"/>
    <w:rsid w:val="00F7430A"/>
    <w:rsid w:val="00F7693C"/>
    <w:rsid w:val="00F773A9"/>
    <w:rsid w:val="00F81121"/>
    <w:rsid w:val="00F82326"/>
    <w:rsid w:val="00F86464"/>
    <w:rsid w:val="00F90A38"/>
    <w:rsid w:val="00F90B27"/>
    <w:rsid w:val="00F91A7F"/>
    <w:rsid w:val="00F956C1"/>
    <w:rsid w:val="00FA0734"/>
    <w:rsid w:val="00FA4BB4"/>
    <w:rsid w:val="00FA65C2"/>
    <w:rsid w:val="00FB3E57"/>
    <w:rsid w:val="00FB42B9"/>
    <w:rsid w:val="00FB6FAE"/>
    <w:rsid w:val="00FC5181"/>
    <w:rsid w:val="00FC5FF0"/>
    <w:rsid w:val="00FD1F6D"/>
    <w:rsid w:val="00FE00A1"/>
    <w:rsid w:val="00FE08B4"/>
    <w:rsid w:val="00FE0E88"/>
    <w:rsid w:val="00FE1425"/>
    <w:rsid w:val="00FE2421"/>
    <w:rsid w:val="00FE566D"/>
    <w:rsid w:val="00FF2171"/>
    <w:rsid w:val="00FF5DD1"/>
    <w:rsid w:val="00FF7C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40A12-5E15-4227-8D3F-6E7EF433E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65BBA"/>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uiPriority w:val="9"/>
    <w:semiHidden/>
    <w:unhideWhenUsed/>
    <w:qFormat/>
    <w:rsid w:val="00B06D5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4">
    <w:name w:val="heading 4"/>
    <w:basedOn w:val="Normale"/>
    <w:next w:val="Normale"/>
    <w:link w:val="Titolo4Carattere"/>
    <w:uiPriority w:val="9"/>
    <w:qFormat/>
    <w:rsid w:val="00B65BBA"/>
    <w:pPr>
      <w:keepNext/>
      <w:jc w:val="both"/>
      <w:outlineLvl w:val="3"/>
    </w:pPr>
    <w:rPr>
      <w:b/>
      <w:bCs/>
      <w:sz w:val="20"/>
      <w:szCs w:val="32"/>
    </w:rPr>
  </w:style>
  <w:style w:type="paragraph" w:styleId="Titolo6">
    <w:name w:val="heading 6"/>
    <w:basedOn w:val="Normale"/>
    <w:next w:val="Normale"/>
    <w:link w:val="Titolo6Carattere"/>
    <w:uiPriority w:val="9"/>
    <w:qFormat/>
    <w:rsid w:val="00B65BBA"/>
    <w:pPr>
      <w:keepNext/>
      <w:jc w:val="both"/>
      <w:outlineLvl w:val="5"/>
    </w:pPr>
    <w:rPr>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predefinitoparagrafo"/>
    <w:link w:val="Titolo4"/>
    <w:uiPriority w:val="9"/>
    <w:rsid w:val="00B65BBA"/>
    <w:rPr>
      <w:rFonts w:ascii="Times New Roman" w:eastAsia="Times New Roman" w:hAnsi="Times New Roman" w:cs="Times New Roman"/>
      <w:b/>
      <w:bCs/>
      <w:sz w:val="20"/>
      <w:szCs w:val="32"/>
      <w:lang w:eastAsia="it-IT"/>
    </w:rPr>
  </w:style>
  <w:style w:type="character" w:customStyle="1" w:styleId="Titolo6Carattere">
    <w:name w:val="Titolo 6 Carattere"/>
    <w:basedOn w:val="Carpredefinitoparagrafo"/>
    <w:link w:val="Titolo6"/>
    <w:uiPriority w:val="9"/>
    <w:rsid w:val="00B65BBA"/>
    <w:rPr>
      <w:rFonts w:ascii="Times New Roman" w:eastAsia="Times New Roman" w:hAnsi="Times New Roman" w:cs="Times New Roman"/>
      <w:i/>
      <w:iCs/>
      <w:sz w:val="20"/>
      <w:szCs w:val="20"/>
      <w:lang w:eastAsia="it-IT"/>
    </w:rPr>
  </w:style>
  <w:style w:type="paragraph" w:styleId="Corpodeltesto2">
    <w:name w:val="Body Text 2"/>
    <w:basedOn w:val="Normale"/>
    <w:link w:val="Corpodeltesto2Carattere"/>
    <w:uiPriority w:val="99"/>
    <w:rsid w:val="00B65BBA"/>
    <w:pPr>
      <w:autoSpaceDE w:val="0"/>
      <w:autoSpaceDN w:val="0"/>
      <w:adjustRightInd w:val="0"/>
      <w:jc w:val="both"/>
    </w:pPr>
    <w:rPr>
      <w:rFonts w:eastAsia="TimesNewRoman"/>
      <w:sz w:val="20"/>
    </w:rPr>
  </w:style>
  <w:style w:type="character" w:customStyle="1" w:styleId="Corpodeltesto2Carattere">
    <w:name w:val="Corpo del testo 2 Carattere"/>
    <w:basedOn w:val="Carpredefinitoparagrafo"/>
    <w:link w:val="Corpodeltesto2"/>
    <w:uiPriority w:val="99"/>
    <w:rsid w:val="00B65BBA"/>
    <w:rPr>
      <w:rFonts w:ascii="Times New Roman" w:eastAsia="TimesNewRoman" w:hAnsi="Times New Roman" w:cs="Times New Roman"/>
      <w:sz w:val="20"/>
      <w:szCs w:val="24"/>
      <w:lang w:eastAsia="it-IT"/>
    </w:rPr>
  </w:style>
  <w:style w:type="paragraph" w:customStyle="1" w:styleId="CM4">
    <w:name w:val="CM4"/>
    <w:basedOn w:val="Normale"/>
    <w:next w:val="Normale"/>
    <w:uiPriority w:val="99"/>
    <w:rsid w:val="00B65BBA"/>
    <w:pPr>
      <w:autoSpaceDE w:val="0"/>
      <w:autoSpaceDN w:val="0"/>
      <w:adjustRightInd w:val="0"/>
    </w:pPr>
  </w:style>
  <w:style w:type="character" w:customStyle="1" w:styleId="Titolo2Carattere">
    <w:name w:val="Titolo 2 Carattere"/>
    <w:basedOn w:val="Carpredefinitoparagrafo"/>
    <w:link w:val="Titolo2"/>
    <w:uiPriority w:val="9"/>
    <w:semiHidden/>
    <w:rsid w:val="00B06D54"/>
    <w:rPr>
      <w:rFonts w:asciiTheme="majorHAnsi" w:eastAsiaTheme="majorEastAsia" w:hAnsiTheme="majorHAnsi" w:cstheme="majorBidi"/>
      <w:color w:val="2E74B5" w:themeColor="accent1" w:themeShade="BF"/>
      <w:sz w:val="26"/>
      <w:szCs w:val="26"/>
      <w:lang w:eastAsia="it-IT"/>
    </w:rPr>
  </w:style>
  <w:style w:type="character" w:customStyle="1" w:styleId="longtext">
    <w:name w:val="long_text"/>
    <w:basedOn w:val="Carpredefinitoparagrafo"/>
    <w:rsid w:val="00E10D42"/>
  </w:style>
  <w:style w:type="character" w:customStyle="1" w:styleId="hps">
    <w:name w:val="hps"/>
    <w:basedOn w:val="Carpredefinitoparagrafo"/>
    <w:rsid w:val="00EA6D2B"/>
  </w:style>
  <w:style w:type="paragraph" w:styleId="Paragrafoelenco">
    <w:name w:val="List Paragraph"/>
    <w:basedOn w:val="Normale"/>
    <w:uiPriority w:val="34"/>
    <w:qFormat/>
    <w:rsid w:val="00D17A9C"/>
    <w:pPr>
      <w:ind w:left="720"/>
      <w:contextualSpacing/>
    </w:pPr>
  </w:style>
  <w:style w:type="paragraph" w:customStyle="1" w:styleId="ManualNumPar1">
    <w:name w:val="Manual NumPar 1"/>
    <w:basedOn w:val="Normale"/>
    <w:next w:val="Normale"/>
    <w:rsid w:val="00D51E8F"/>
    <w:pPr>
      <w:spacing w:before="120" w:after="120"/>
      <w:ind w:left="850" w:hanging="850"/>
      <w:jc w:val="both"/>
    </w:pPr>
    <w:rPr>
      <w:lang w:val="en-GB" w:eastAsia="en-GB"/>
    </w:rPr>
  </w:style>
  <w:style w:type="paragraph" w:styleId="Testonotaapidipagina">
    <w:name w:val="footnote text"/>
    <w:basedOn w:val="Normale"/>
    <w:link w:val="TestonotaapidipaginaCarattere"/>
    <w:semiHidden/>
    <w:rsid w:val="00B64F87"/>
    <w:pPr>
      <w:ind w:left="720" w:hanging="720"/>
      <w:jc w:val="both"/>
    </w:pPr>
    <w:rPr>
      <w:sz w:val="20"/>
      <w:szCs w:val="20"/>
      <w:lang w:val="en-GB" w:eastAsia="en-GB"/>
    </w:rPr>
  </w:style>
  <w:style w:type="character" w:customStyle="1" w:styleId="TestonotaapidipaginaCarattere">
    <w:name w:val="Testo nota a piè di pagina Carattere"/>
    <w:basedOn w:val="Carpredefinitoparagrafo"/>
    <w:link w:val="Testonotaapidipagina"/>
    <w:semiHidden/>
    <w:rsid w:val="00B64F87"/>
    <w:rPr>
      <w:rFonts w:ascii="Times New Roman" w:eastAsia="Times New Roman" w:hAnsi="Times New Roman" w:cs="Times New Roman"/>
      <w:sz w:val="20"/>
      <w:szCs w:val="20"/>
      <w:lang w:val="en-GB" w:eastAsia="en-GB"/>
    </w:rPr>
  </w:style>
  <w:style w:type="character" w:styleId="Rimandonotaapidipagina">
    <w:name w:val="footnote reference"/>
    <w:aliases w:val="Footnote call,Footnote Reference Superscript,Footnote Refernece,BVI fnr,Fußnotenzeichen_Raxen,callout,Footnote Reference Number,SUPERS,Footnote symbol,Footnote reference number,Times 10 Point,Exposant 3 Point,Re"/>
    <w:semiHidden/>
    <w:rsid w:val="00B64F87"/>
    <w:rPr>
      <w:rFonts w:cs="Times New Roman"/>
      <w:shd w:val="clear" w:color="auto" w:fill="auto"/>
      <w:vertAlign w:val="superscript"/>
    </w:rPr>
  </w:style>
  <w:style w:type="paragraph" w:customStyle="1" w:styleId="Point1">
    <w:name w:val="Point 1"/>
    <w:basedOn w:val="Normale"/>
    <w:rsid w:val="008E2FE3"/>
    <w:pPr>
      <w:spacing w:before="120" w:after="120" w:line="360" w:lineRule="auto"/>
      <w:ind w:left="1417" w:hanging="567"/>
      <w:outlineLvl w:val="0"/>
    </w:pPr>
    <w:rPr>
      <w:lang w:val="en-GB" w:eastAsia="en-US"/>
    </w:rPr>
  </w:style>
  <w:style w:type="paragraph" w:customStyle="1" w:styleId="Text1">
    <w:name w:val="Text 1"/>
    <w:basedOn w:val="Normale"/>
    <w:rsid w:val="008E2FE3"/>
    <w:pPr>
      <w:spacing w:before="120" w:after="120" w:line="360" w:lineRule="auto"/>
      <w:ind w:left="850"/>
      <w:outlineLvl w:val="0"/>
    </w:pPr>
    <w:rPr>
      <w:lang w:val="en-GB" w:eastAsia="en-US"/>
    </w:rPr>
  </w:style>
  <w:style w:type="paragraph" w:customStyle="1" w:styleId="ChapterTitle">
    <w:name w:val="ChapterTitle"/>
    <w:basedOn w:val="Normale"/>
    <w:next w:val="Normale"/>
    <w:rsid w:val="00B57B26"/>
    <w:pPr>
      <w:keepNext/>
      <w:spacing w:before="120" w:after="360" w:line="360" w:lineRule="auto"/>
      <w:jc w:val="center"/>
    </w:pPr>
    <w:rPr>
      <w:b/>
      <w:sz w:val="32"/>
      <w:lang w:val="en-GB" w:eastAsia="en-US"/>
    </w:rPr>
  </w:style>
  <w:style w:type="paragraph" w:styleId="Intestazione">
    <w:name w:val="header"/>
    <w:basedOn w:val="Normale"/>
    <w:link w:val="IntestazioneCarattere"/>
    <w:uiPriority w:val="99"/>
    <w:unhideWhenUsed/>
    <w:rsid w:val="00266086"/>
    <w:pPr>
      <w:tabs>
        <w:tab w:val="center" w:pos="4819"/>
        <w:tab w:val="right" w:pos="9638"/>
      </w:tabs>
    </w:pPr>
  </w:style>
  <w:style w:type="character" w:customStyle="1" w:styleId="IntestazioneCarattere">
    <w:name w:val="Intestazione Carattere"/>
    <w:basedOn w:val="Carpredefinitoparagrafo"/>
    <w:link w:val="Intestazione"/>
    <w:uiPriority w:val="99"/>
    <w:rsid w:val="00266086"/>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66086"/>
    <w:pPr>
      <w:tabs>
        <w:tab w:val="center" w:pos="4819"/>
        <w:tab w:val="right" w:pos="9638"/>
      </w:tabs>
    </w:pPr>
  </w:style>
  <w:style w:type="character" w:customStyle="1" w:styleId="PidipaginaCarattere">
    <w:name w:val="Piè di pagina Carattere"/>
    <w:basedOn w:val="Carpredefinitoparagrafo"/>
    <w:link w:val="Pidipagina"/>
    <w:uiPriority w:val="99"/>
    <w:rsid w:val="00266086"/>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3F78D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F78DA"/>
    <w:rPr>
      <w:rFonts w:ascii="Segoe UI" w:eastAsia="Times New Roman" w:hAnsi="Segoe UI" w:cs="Segoe UI"/>
      <w:sz w:val="18"/>
      <w:szCs w:val="18"/>
      <w:lang w:eastAsia="it-IT"/>
    </w:rPr>
  </w:style>
  <w:style w:type="paragraph" w:customStyle="1" w:styleId="CM1">
    <w:name w:val="CM1"/>
    <w:basedOn w:val="Normale"/>
    <w:next w:val="Normale"/>
    <w:uiPriority w:val="99"/>
    <w:rsid w:val="004937E5"/>
    <w:pPr>
      <w:autoSpaceDE w:val="0"/>
      <w:autoSpaceDN w:val="0"/>
      <w:adjustRightInd w:val="0"/>
    </w:pPr>
    <w:rPr>
      <w:rFonts w:ascii="EUAlbertina" w:eastAsiaTheme="minorHAnsi" w:hAnsi="EUAlbertina" w:cstheme="minorBidi"/>
      <w:lang w:eastAsia="en-US"/>
    </w:rPr>
  </w:style>
  <w:style w:type="paragraph" w:customStyle="1" w:styleId="CM3">
    <w:name w:val="CM3"/>
    <w:basedOn w:val="Normale"/>
    <w:next w:val="Normale"/>
    <w:uiPriority w:val="99"/>
    <w:rsid w:val="004937E5"/>
    <w:pPr>
      <w:autoSpaceDE w:val="0"/>
      <w:autoSpaceDN w:val="0"/>
      <w:adjustRightInd w:val="0"/>
    </w:pPr>
    <w:rPr>
      <w:rFonts w:ascii="EUAlbertina" w:eastAsiaTheme="minorHAnsi" w:hAnsi="EUAlbertina" w:cstheme="minorBidi"/>
      <w:lang w:eastAsia="en-US"/>
    </w:rPr>
  </w:style>
  <w:style w:type="character" w:styleId="Rimandocommento">
    <w:name w:val="annotation reference"/>
    <w:basedOn w:val="Carpredefinitoparagrafo"/>
    <w:uiPriority w:val="99"/>
    <w:semiHidden/>
    <w:unhideWhenUsed/>
    <w:rsid w:val="00925A2C"/>
    <w:rPr>
      <w:sz w:val="16"/>
      <w:szCs w:val="16"/>
    </w:rPr>
  </w:style>
  <w:style w:type="paragraph" w:styleId="Testocommento">
    <w:name w:val="annotation text"/>
    <w:basedOn w:val="Normale"/>
    <w:link w:val="TestocommentoCarattere"/>
    <w:uiPriority w:val="99"/>
    <w:semiHidden/>
    <w:unhideWhenUsed/>
    <w:rsid w:val="00925A2C"/>
    <w:rPr>
      <w:sz w:val="20"/>
      <w:szCs w:val="20"/>
    </w:rPr>
  </w:style>
  <w:style w:type="character" w:customStyle="1" w:styleId="TestocommentoCarattere">
    <w:name w:val="Testo commento Carattere"/>
    <w:basedOn w:val="Carpredefinitoparagrafo"/>
    <w:link w:val="Testocommento"/>
    <w:uiPriority w:val="99"/>
    <w:semiHidden/>
    <w:rsid w:val="00925A2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25A2C"/>
    <w:rPr>
      <w:b/>
      <w:bCs/>
    </w:rPr>
  </w:style>
  <w:style w:type="character" w:customStyle="1" w:styleId="SoggettocommentoCarattere">
    <w:name w:val="Soggetto commento Carattere"/>
    <w:basedOn w:val="TestocommentoCarattere"/>
    <w:link w:val="Soggettocommento"/>
    <w:uiPriority w:val="99"/>
    <w:semiHidden/>
    <w:rsid w:val="00925A2C"/>
    <w:rPr>
      <w:rFonts w:ascii="Times New Roman" w:eastAsia="Times New Roman" w:hAnsi="Times New Roman" w:cs="Times New Roman"/>
      <w:b/>
      <w:bCs/>
      <w:sz w:val="20"/>
      <w:szCs w:val="20"/>
      <w:lang w:eastAsia="it-IT"/>
    </w:rPr>
  </w:style>
  <w:style w:type="paragraph" w:styleId="PreformattatoHTML">
    <w:name w:val="HTML Preformatted"/>
    <w:basedOn w:val="Normale"/>
    <w:link w:val="PreformattatoHTMLCarattere"/>
    <w:semiHidden/>
    <w:unhideWhenUsed/>
    <w:rsid w:val="00E27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semiHidden/>
    <w:rsid w:val="00E270CB"/>
    <w:rPr>
      <w:rFonts w:ascii="Courier New" w:eastAsia="Times New Roman" w:hAnsi="Courier New" w:cs="Courier New"/>
      <w:sz w:val="20"/>
      <w:szCs w:val="20"/>
      <w:lang w:eastAsia="it-IT"/>
    </w:rPr>
  </w:style>
  <w:style w:type="table" w:styleId="Grigliatabella">
    <w:name w:val="Table Grid"/>
    <w:basedOn w:val="Tabellanormale"/>
    <w:uiPriority w:val="39"/>
    <w:rsid w:val="00333E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8176E"/>
    <w:pPr>
      <w:autoSpaceDE w:val="0"/>
      <w:autoSpaceDN w:val="0"/>
      <w:adjustRightInd w:val="0"/>
      <w:spacing w:after="0" w:line="240" w:lineRule="auto"/>
    </w:pPr>
    <w:rPr>
      <w:rFonts w:ascii="Tahoma" w:hAnsi="Tahoma" w:cs="Tahoma"/>
      <w:color w:val="000000"/>
      <w:sz w:val="24"/>
      <w:szCs w:val="24"/>
    </w:rPr>
  </w:style>
  <w:style w:type="paragraph" w:styleId="Testonotadichiusura">
    <w:name w:val="endnote text"/>
    <w:basedOn w:val="Normale"/>
    <w:link w:val="TestonotadichiusuraCarattere"/>
    <w:uiPriority w:val="99"/>
    <w:semiHidden/>
    <w:unhideWhenUsed/>
    <w:rsid w:val="00571C54"/>
    <w:rPr>
      <w:sz w:val="20"/>
      <w:szCs w:val="20"/>
    </w:rPr>
  </w:style>
  <w:style w:type="character" w:customStyle="1" w:styleId="TestonotadichiusuraCarattere">
    <w:name w:val="Testo nota di chiusura Carattere"/>
    <w:basedOn w:val="Carpredefinitoparagrafo"/>
    <w:link w:val="Testonotadichiusura"/>
    <w:uiPriority w:val="99"/>
    <w:semiHidden/>
    <w:rsid w:val="00571C54"/>
    <w:rPr>
      <w:rFonts w:ascii="Times New Roman" w:eastAsia="Times New Roman" w:hAnsi="Times New Roman" w:cs="Times New Roman"/>
      <w:sz w:val="20"/>
      <w:szCs w:val="20"/>
      <w:lang w:eastAsia="it-IT"/>
    </w:rPr>
  </w:style>
  <w:style w:type="character" w:styleId="Rimandonotadichiusura">
    <w:name w:val="endnote reference"/>
    <w:basedOn w:val="Carpredefinitoparagrafo"/>
    <w:uiPriority w:val="99"/>
    <w:semiHidden/>
    <w:unhideWhenUsed/>
    <w:rsid w:val="00571C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63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FAC8B-A6C6-4440-92B4-DD36CE72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5846</Words>
  <Characters>33323</Characters>
  <Application>Microsoft Office Word</Application>
  <DocSecurity>0</DocSecurity>
  <Lines>277</Lines>
  <Paragraphs>78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Cianni</dc:creator>
  <cp:keywords/>
  <dc:description/>
  <cp:lastModifiedBy>Rosita Tombesi</cp:lastModifiedBy>
  <cp:revision>6</cp:revision>
  <cp:lastPrinted>2014-01-31T13:47:00Z</cp:lastPrinted>
  <dcterms:created xsi:type="dcterms:W3CDTF">2014-02-03T15:08:00Z</dcterms:created>
  <dcterms:modified xsi:type="dcterms:W3CDTF">2014-02-03T16:54:00Z</dcterms:modified>
</cp:coreProperties>
</file>